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29B" w:rsidRPr="0096729B" w:rsidRDefault="0096729B" w:rsidP="0096729B">
      <w:pPr>
        <w:jc w:val="center"/>
        <w:rPr>
          <w:rFonts w:ascii="Times New Roman" w:hAnsi="Times New Roman"/>
          <w:b/>
          <w:szCs w:val="24"/>
        </w:rPr>
      </w:pPr>
      <w:r w:rsidRPr="0096729B">
        <w:rPr>
          <w:rFonts w:ascii="Times New Roman" w:hAnsi="Times New Roman"/>
          <w:b/>
          <w:szCs w:val="24"/>
        </w:rPr>
        <w:t>НОВЫЕ ДОКУМЕНТЫ К РАС</w:t>
      </w:r>
      <w:r w:rsidR="006E0AC7">
        <w:rPr>
          <w:rFonts w:ascii="Times New Roman" w:hAnsi="Times New Roman"/>
          <w:b/>
          <w:szCs w:val="24"/>
        </w:rPr>
        <w:t>СМОТРЕНИЮ НА СЕМИНАРАХ – 2025 (5</w:t>
      </w:r>
      <w:r w:rsidRPr="0096729B">
        <w:rPr>
          <w:rFonts w:ascii="Times New Roman" w:hAnsi="Times New Roman"/>
          <w:b/>
          <w:szCs w:val="24"/>
        </w:rPr>
        <w:t>)</w:t>
      </w:r>
    </w:p>
    <w:p w:rsidR="0096729B" w:rsidRPr="0096729B" w:rsidRDefault="0096729B" w:rsidP="0096729B">
      <w:pPr>
        <w:jc w:val="center"/>
        <w:rPr>
          <w:rFonts w:ascii="Times New Roman" w:hAnsi="Times New Roman"/>
          <w:b/>
          <w:sz w:val="12"/>
          <w:szCs w:val="12"/>
        </w:rPr>
      </w:pPr>
    </w:p>
    <w:p w:rsidR="0096729B" w:rsidRPr="0096729B" w:rsidRDefault="0096729B" w:rsidP="0096729B">
      <w:pPr>
        <w:jc w:val="center"/>
        <w:rPr>
          <w:rFonts w:ascii="Times New Roman" w:hAnsi="Times New Roman"/>
          <w:b/>
          <w:sz w:val="22"/>
          <w:szCs w:val="22"/>
        </w:rPr>
      </w:pPr>
      <w:r w:rsidRPr="0096729B">
        <w:rPr>
          <w:rFonts w:ascii="Times New Roman" w:hAnsi="Times New Roman"/>
          <w:b/>
          <w:sz w:val="22"/>
          <w:szCs w:val="22"/>
        </w:rPr>
        <w:t>Общие вопросы</w:t>
      </w:r>
    </w:p>
    <w:p w:rsidR="007850DE" w:rsidRPr="007348CD" w:rsidRDefault="007850DE" w:rsidP="0096729B">
      <w:pPr>
        <w:rPr>
          <w:b/>
          <w:sz w:val="22"/>
          <w:szCs w:val="22"/>
        </w:rPr>
      </w:pPr>
    </w:p>
    <w:tbl>
      <w:tblPr>
        <w:tblW w:w="10915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03"/>
        <w:gridCol w:w="3891"/>
        <w:gridCol w:w="2068"/>
        <w:gridCol w:w="1051"/>
        <w:gridCol w:w="958"/>
        <w:gridCol w:w="1219"/>
        <w:gridCol w:w="1225"/>
      </w:tblGrid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орган в ходе камеральной налоговой проверки вправе истребовать у проверяемого лица любые документы в целях устранения выявленных несоответствий в представленной проверяемым лицом отчётности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88 НК РФ, статья 93 НК РФ, камеральная налоговая проверка, истребование документов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31.10.25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309-ЭС25-6656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Цессия права требования, не подтверждённого в установленном законом порядке, в том числе оформленного с нарушением Закона №115-ФЗ, неправомерна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Закон №115-ФЗ, цессия, недействительность требования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23.10.25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305-ЭС25-5952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Многократное завышение стоимости приобретения активов у взаимозависимого лица, а также завышенная стоимость услуг взаимозависимого управляющего лица есть злоупотребление правом 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54.1 НК РФ, завышение стоимости приобретения, услуги управляющего лица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14.10.25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301-ЭС25-10998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орган обязан ознакомить налогоплательщика со всеми материалами налоговой проверки, в том числе и о третьих лицах, невзирая на налоговую тайну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100 НК РФ, ознакомление с материалами налоговой проверки, налоговая тайна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ПО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11.09.25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А55-31036/2024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Отказ налоговым органом в возмещении НДС порождает убытки для покупателя, которые могут быть взысканы в общем порядке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15 ГК РФ, статья 1064 ГК РФ, статья 54.1 НК РФ, убытки, неправомерное возмещение НДС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А56-50410/2023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Реальность заёмных отношений доказывает заинтересованное лицо посредством не только представления расписки в получении займа, но иными сопутствующими документами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54.1 НК РФ, недобросовестность, фиктивный заём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ВС РФ 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22.09.25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305-ЭС25-7880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Фактический отказ от использования арендованного помещения означает отказ от пролонгации договора, что исключает его автоматическую пролонгацию, предусмотренную договором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610 ГК РФ, срок договора аренды, пролонгация договора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19.08.25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305-ЭС25-4276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Перечисление работнику заработной платы в ошибочном размере вследствие неправильного её указания в платёжном документе может быть признано неосновательным обогащением, подлежащим взысканию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137 ТК РФ, счётная ошибка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18.08.25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46-КГ25-8-К6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9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Неотражение</w:t>
            </w:r>
            <w:proofErr w:type="spellEnd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 налоговым органом налоговых деклараций по истечении трёхлетнего срока может быть оспорено, если такие действия искажают реальное сальдо по ЕНС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11.3 НК РФ, ЕНС, сальдо по ЕНС, трёхлетний срок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МО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11.04.25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А40-105914/2024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Для признания договора заключённым необходимо установление лиц, его заключивших, и их волеизъявление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Статья 432 ГК РФ,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незаключённость</w:t>
            </w:r>
            <w:proofErr w:type="spellEnd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 договора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08.07.25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78-КГ25-12-К3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Утверждены правила расчёта и уплаты сбора за размещение рекламы в интернете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Закон о рекламе, сбор за размещение рекламы в интернете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1224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Право аренды недвижимости есть высоколиквидный актив, уступка которого по заниженной стоимости указывает на злоупотребление правом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10 ГК РФ, статья 606 ГК РФ, аренда недвижимости, право аренды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ВС РФ 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12.05.25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303-ЭС25-2741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Установлен порядок доступа к аудиторским заключениям в составе ГИРБО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ГИРБО, аудиторские заключения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03.09.25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1361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Поездка дистанционного работника в офис, расположенный в другом городе, есть командировка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166 ТК РФ, служебная командировка, дистанционный работник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1-й КСОЮ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06.08.24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88-22545/2024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Признание договора купли-продажи недвижимости недействительным при отсутствии реституции не исключает возможности признания полученной оплаты доходом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41 НК РФ, недействительность сделки, реституция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2046-О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16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Нарушение налоговым органом сроков проведения выездной налоговой проверки само по себе не приводит к недействительности результатов таковой, но влияет на течение сроков на взыскание недоимки и пеней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89 НК РФ, статья 46 НК РФ, статья 101 НК РФ, срок взыскания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1569-О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Фактическое исполнение договора коммерческой концессии при отсутствии его регистрации не исключает его действительность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164 ГК РФ, государственная регистрация договора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28.08.25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305-ЭС25-8751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18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Судебное признание недействительным решения налогового органа не является основанием для признания таковыми принятых обеспечительных мер, что исключает возможность получения процентов за блокировку денежных средств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101 НК РФ, обеспечительные меры, блокировка счёта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А52-3460/2024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19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Затраты на устранение недостатков по сделке, включающие в составе цены НДС, </w:t>
            </w: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дают право на взыскание с противной стороны соответствующих убытков за вычетом данной суммы НДС, поскольку вычетом по НДС часть убытков компенсируется в рамках налогового законодательства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 xml:space="preserve">Статья 15 ГК РФ, статья 1064 ГК </w:t>
            </w: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РФ, убытки, возмещение НДС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26.08.25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310-ЭС25-7448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20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Вносить в ЕГРЮЛ сведения о продлении полномочий руководителя организации не требуется, поскольку указанные сведения уже имеются в ЕГРЮЛ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ЕГРЮЛ, полномочия руководителя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04.07.25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03-12-11/65256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21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Признание договора купли-продажи недвижимости недействительным исключает возможность признания полученной оплаты за таковую доходом ввиду отсутствия права на указанные денежные средства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41 НК РФ, недействительность сделки, реституция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Кассационное 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23.07.25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53-КАД25-3-К8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22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Банк обязан проинформировать клиента о причинах приостановления операций по счетам и действиях по устранению указанных препятствий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Закон №115-ФЗ, приостановка операций по счетам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Информационное письмо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ЦБР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26.08.25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ИН-01-59/98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23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Повторное проведение осмотра помещений и документов НК РФ не ограничено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92 НК РФ, осмотр помещений, повторный осмотр помещений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СКО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07.08.25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А32-29955/2024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24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Накопление отпусков может быть расценено как злоупотребление правом, вследствие чего компенсация за отпуск может быть сокращена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127 ТК РФ, компенсация за неиспользованный отпуск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3-й КСОЮ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17.02.25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88-3334/2025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25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Накопление отпусков может быть расценено как злоупотребление правом, вследствие чего компенсация за отпуск может быть сокращена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127 ТК РФ, компенсация за неиспользованный отпуск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8-й КСОЮ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88-10274/2025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26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 создании ситуации с погашением обязательств для снижения таковых ниже минимального показателя по делу о банкротстве, но при недостаточности имущества дело о банкротстве всё равно может быть возбуждено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Закон о банкротстве, минимальный размер задолженности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23.07.25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308-ЭС24-13579(2)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Установлены правила уплаты отчислений за интернет-рекламу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18.2 Закона о рекламе, отчисления за интернет-рекламу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1224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28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Возврат положительного сальдо по ЕНС может быть не осуществлён, </w:t>
            </w: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если использование ЕНС носит сомнительный характер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 xml:space="preserve">Статья 11.3 НК РФ, </w:t>
            </w: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сомнительные операции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Постановление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УО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25.07.25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А60-34103/2024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29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Если единственный участник находится в состоянии, не позволяющем оценивать последствия своих действий, то даже нотариальное удостоверение такого решения не исключает его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оспоримости</w:t>
            </w:r>
            <w:proofErr w:type="spellEnd"/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ЕГРЮЛ, решение общего собрания, нотариальное удостоверение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309-ЭС25-6809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Реальность заёмных отношений доказывает заинтересованное лицо посредством не только представления расписки в получении займа, но иными сопутствующими документами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54.1 НК РФ, недобросовестность, фиктивный заём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ВС РФ 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305-ЭС25-7078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Утверждено ФСБУ 9/2025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ФСБУ 9/2025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Приказ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16.05.25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56Н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32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Оспаривание УПД по правилам сделки неправомерно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169 НК РФ, УПД, недействительность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307-ЭС25-6929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33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Фиктивная смена адреса регистрации в целях применения пониженных ставок налогов есть злоупотребление правом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54.1 НК РФ, смена адреса регистрации, пониженные ставки налогов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29.07.25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308-ЭС25-6275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34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Сокрытие денежных средств при наличии недоимки образует состав преступления, предусмотренного статьёй 199.2 УК РФ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199.2 УК РФ, сокрытие имущества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01.07.25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41-УД25-11-К4</w:t>
            </w:r>
          </w:p>
        </w:tc>
      </w:tr>
      <w:tr w:rsidR="007850DE" w:rsidRPr="007348CD" w:rsidTr="007348CD"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35</w:t>
            </w:r>
          </w:p>
        </w:tc>
        <w:tc>
          <w:tcPr>
            <w:tcW w:w="3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 принял обзор практики по применению мер ответственности к руководителю организации при заключении сделок с заинтересованностью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53.1 ГК РФ, генеральный директор, сделки с заинтересованностью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Обзор судебной практики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30.07.25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850DE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</w:p>
        </w:tc>
      </w:tr>
    </w:tbl>
    <w:p w:rsidR="007850DE" w:rsidRPr="007348CD" w:rsidRDefault="007850DE">
      <w:pPr>
        <w:jc w:val="center"/>
        <w:rPr>
          <w:sz w:val="22"/>
          <w:szCs w:val="22"/>
        </w:rPr>
      </w:pPr>
    </w:p>
    <w:p w:rsidR="007850DE" w:rsidRPr="007348CD" w:rsidRDefault="007850DE">
      <w:pPr>
        <w:jc w:val="center"/>
        <w:rPr>
          <w:sz w:val="22"/>
          <w:szCs w:val="22"/>
        </w:rPr>
      </w:pPr>
    </w:p>
    <w:p w:rsidR="007348CD" w:rsidRPr="0096729B" w:rsidRDefault="007348CD" w:rsidP="007348CD">
      <w:pPr>
        <w:jc w:val="center"/>
        <w:rPr>
          <w:rFonts w:ascii="Times New Roman" w:hAnsi="Times New Roman"/>
          <w:b/>
          <w:sz w:val="22"/>
          <w:szCs w:val="22"/>
        </w:rPr>
      </w:pPr>
      <w:r w:rsidRPr="007348CD">
        <w:rPr>
          <w:rFonts w:ascii="Times New Roman" w:hAnsi="Times New Roman"/>
          <w:b/>
          <w:sz w:val="22"/>
          <w:szCs w:val="22"/>
        </w:rPr>
        <w:t>Налог на добавленную стоимость (НДС)</w:t>
      </w:r>
    </w:p>
    <w:p w:rsidR="007850DE" w:rsidRPr="007348CD" w:rsidRDefault="007850DE">
      <w:pPr>
        <w:jc w:val="center"/>
        <w:rPr>
          <w:sz w:val="22"/>
          <w:szCs w:val="22"/>
        </w:rPr>
      </w:pPr>
    </w:p>
    <w:tbl>
      <w:tblPr>
        <w:tblW w:w="10914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14"/>
        <w:gridCol w:w="3929"/>
        <w:gridCol w:w="1935"/>
        <w:gridCol w:w="1189"/>
        <w:gridCol w:w="954"/>
        <w:gridCol w:w="1221"/>
        <w:gridCol w:w="1172"/>
      </w:tblGrid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Занижение выкупной стоимости предмета лизинга есть злоупотребление правом, приводящее к сокрытию выручки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153 НК РФ, лизинг, выкупная стоимость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27.10.25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304-ЭС25-10850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Безвозмездная передача имущества, предназначенного для предпринимательской деятельности, между взаимозависимыми лицами признаётся объектом обложения НДС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безвозмездная передача имущества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27.10.25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310-ЭС25-10172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Освобождение от НДС по медицинским изделиям подлежит применению независимо от операций с принадлежностями вместе с изделием или без такового, если последние указаны в регистрационном удостоверении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149 НК РФ, медицинские изделия, принадлежности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22.10.25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305-ЭС23-9076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4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правила исполнения обязанности налогового агента в отношении операций с медными полуфабрикатами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161 НК РФ, налоговый агент, кабельно-проводниковая продукция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01.10.25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СД-4-3/8934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Стоимость неотделимых улучшений, переданных арендатором арендодателю, облагается НДС в общем порядке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безвозмездная передача имущества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18.09.25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301-ЭС25-8465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 продаже программного обеспечения в составе программно-аппаратного комплекса программное обеспечение освобождается от НДС, если его стоимость выделена отдельно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149 НК РФ, программное обеспечение, программно-аппаратный комплекс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20.08.25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03-07-07/81031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Продажа товаров одним российским налогоплательщиком другому за пределами Российской Федерации до таможенного оформления не признаётся реализацией на её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147 НК РФ, место реализации товаров, продажа товаров до таможенного оформления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07.08.25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03-07-08/76744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Местом реализации услуг по продвижению товаров, являющихся по сути рекламными услугами, признаётся место регистрации покупателя услуг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148 НК РФ, место реализации услуг, рекламные услуги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03-07-08/75718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Безвозмездная передача имущества, предназначенного для предпринимательской деятельности, между взаимозависимыми лицами признаётся объектом обложения НДС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безвозмездная передача имущества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1575-О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вопросы начисления и восстановления входящего НДС при получении бюджетных субсидий на компенсацию недополученных доходов или понесённых расходов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162 НК РФ, статья 170 НК РФ, субсидия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30.07.25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03-07-11/73904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 рамках международной перевозки подлежит применению ставка НДС в размере 0%, а при перевозке между пунктами на территории Российской Федерации - 20%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164 НК РФ, ставка 0%, международная перевозка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03.07.25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03-07-08/64858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НДС, уплаченный на таможне при ввозе безвозмездно получаемых деталей для ремонта в рамках гарантийных обязательств, возмещается на общих основаниях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171 НК РФ, статья 172 НК РФ, таможенный НДС, гарантийный ремонт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21.08.25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301-ЭС25-3037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13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Передача ПИФ имущества его учредителю в счёт погашения пая признаётся реализацией на общих основаниях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ПИФ, передача имущества в счёт пая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31.07.25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03-07-11/74312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Утверждён перечень производителей кабельно-проводниковой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161 НК РФ, налоговый агент, кабельно-проводниковая продукция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Приказ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ЕД-7-3/561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Стоимость неотделимых улучшений, переданных арендатором арендодателю, облагается НДС в общем порядке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безвозмездная передача имущества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ВВО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10.07.25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А17-2255/2021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16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Стоимость неотделимых улучшений, переданных арендатором арендодателю, облагается НДС в общем порядке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безвозмездная передача имущества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05.06.25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03-07-11/55506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Уплата НДС при аренде государственного имущества зависит от статуса арендодателя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161 НК РФ, аренда государственного имущества, налоговый агент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16.06.25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03-07-11/57831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18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Оспаривание УПД по правилам сделки неправомерно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169 НК РФ, УПД, недействительность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307-ЭС25-6929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19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 применении статьи 174.1 НК РФ лицо, исполняющее обязанность по уплате НДС, не вправе применять в отношении общей реализации ставки НДС, выбранные для своей реализации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174.1 НК РФ, статья 164 НК РФ, ставка НДС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22.05.25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03-07-11/50136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20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Если товар передаётся в составе набора товаров и не является самостоятельным предметом сделки, то набор товаров облагается НДС как одно целое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статья 164 НК РФ, набор товаров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21.06.25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03-07-11/70541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21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Передача индивидуальным предпринимателем недвижимости, неиспользуемой в предпринимательской деятельности, в личный фонд не облагается НДС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146 НК РФ, личный фонд, передача недвижимости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28.07.25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03-07-14/72776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22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Выплата дивидендов имуществом организации есть реализация такового, влекущая начисление НДС на общих основаниях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39 НК РФ, статья 146 НК РФ, дивиденды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11.04.25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03-07-11/36552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23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Налоговый вычет может быть заявлен в любой момент в течение установленного срока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171 НК РФ, статья 172 НК РФ, трёхлетний срок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21.04.25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ЕА-3-15/5626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24</w:t>
            </w:r>
          </w:p>
        </w:tc>
        <w:tc>
          <w:tcPr>
            <w:tcW w:w="3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Покупатель вправе предъявить требование об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обязании</w:t>
            </w:r>
            <w:proofErr w:type="spellEnd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 продавца выдать счёт-фактуру, поскольку без такового невозможно применения налогового вычета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168 НК РФ, счёт-фактура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МО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15.04.25</w:t>
            </w:r>
          </w:p>
        </w:tc>
        <w:tc>
          <w:tcPr>
            <w:tcW w:w="11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А40-148969/2024</w:t>
            </w:r>
          </w:p>
        </w:tc>
      </w:tr>
    </w:tbl>
    <w:p w:rsidR="007850DE" w:rsidRPr="007348CD" w:rsidRDefault="007850DE">
      <w:pPr>
        <w:jc w:val="center"/>
        <w:rPr>
          <w:sz w:val="22"/>
          <w:szCs w:val="22"/>
        </w:rPr>
      </w:pPr>
    </w:p>
    <w:p w:rsidR="007850DE" w:rsidRPr="007348CD" w:rsidRDefault="007850DE">
      <w:pPr>
        <w:jc w:val="center"/>
        <w:rPr>
          <w:sz w:val="22"/>
          <w:szCs w:val="22"/>
        </w:rPr>
      </w:pPr>
    </w:p>
    <w:p w:rsidR="007348CD" w:rsidRPr="0096729B" w:rsidRDefault="007348CD" w:rsidP="007348CD">
      <w:pPr>
        <w:jc w:val="center"/>
        <w:rPr>
          <w:rFonts w:ascii="Times New Roman" w:hAnsi="Times New Roman"/>
          <w:b/>
          <w:sz w:val="22"/>
          <w:szCs w:val="22"/>
        </w:rPr>
      </w:pPr>
      <w:r w:rsidRPr="007348CD">
        <w:rPr>
          <w:rFonts w:ascii="Times New Roman" w:hAnsi="Times New Roman"/>
          <w:b/>
          <w:sz w:val="22"/>
          <w:szCs w:val="22"/>
        </w:rPr>
        <w:t>Налог на прибыль организаций</w:t>
      </w:r>
    </w:p>
    <w:p w:rsidR="007850DE" w:rsidRPr="007348CD" w:rsidRDefault="007850DE">
      <w:pPr>
        <w:jc w:val="center"/>
        <w:rPr>
          <w:sz w:val="22"/>
          <w:szCs w:val="22"/>
        </w:rPr>
      </w:pPr>
    </w:p>
    <w:tbl>
      <w:tblPr>
        <w:tblW w:w="10914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14"/>
        <w:gridCol w:w="3921"/>
        <w:gridCol w:w="2068"/>
        <w:gridCol w:w="1200"/>
        <w:gridCol w:w="954"/>
        <w:gridCol w:w="1211"/>
        <w:gridCol w:w="1046"/>
      </w:tblGrid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 целях применения повышающего коэффициента начисления амортизации в отношении основных средств, используемых в условиях повышенной сменности, необходимо учитывать, что таковые должны использоваться в течение трёх смен в течение рабочего дня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258 НК РФ, статья 259.3 НК РФ, амортизация, повышающий коэффициент, повышенная сменность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30.09.25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2116-О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Занижение выкупной стоимости предмета лизинга есть злоупотребление правом, приводящее к сокрытию выручки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249 НК РФ, лизинг, выкупная стоимость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27.10.25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304-ЭС25-10850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Обязанность по уплате налога в Российской Федерации для нерезидентов других государств зависит от вида дохода и международных актов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309 НК РФ, доходы от источников в Российской Федерации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07.07.25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03-08-05/65844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Компенсация за использование личного электротранспорта для целей налога на прибыль учтена быть не может, поскольку таковая не предусмотрена НК РФ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264 НК РФ, служебный автотранспорт, компенсация за использование личного автотранспорта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19.08.25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03-03-06/1/80897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Проценты по кредиту на приобретение основного средства учитываются не в стоимости последнего, а включаются в состав внереализационных расходов в силу наличия специальной нормы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269 НК РФ, статья 257 НК РФ, проценты по кредиту, стоимость основного средства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01.08.25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03-03-06/1/74556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Налогоплательщик обязан восстанавливать сумму неиспользованного резерва на гарантийный ремонт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267 НК РФ, гарантийный ремонт, резерв на гарантийный ремонт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1570-О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Субсидия как часть оплаты выручки признаётся в составе доходов на дату реализации товаров (работ, услуг)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249 НК РФ, статья 271 НК РФ, субсидия, выручка от реализации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25.07.25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03-03-06/1/72179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 создании объекта основных средств все затраты, связанные с его доведением до работоспособного состояния включаются в его первоначальную стоимость, даже если таковые поименованы в статье 264 НК РФ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257 НК РФ, статья 264 НК РФ, первоначальная стоимость, косвенные расходы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30.07.25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03-03-06/1/73675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9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Отказ от получения распределённых дивидендов есть способ получения таковых, поэтому при наличии обязанности налогового агента таковая должна быть исполнена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309 НК РФ, дивиденды, выплата третьему лицу, обязанность налогового агента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11.06.25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03-08-09/57653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Стоимость неотделимых улучшений, переданных арендатором арендодателю, не может быть списана на затраты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258 НК РФ, статья 270 НК РФ, неотделимые улучшения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05.06.25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03-07-11/55506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Расходы на обучение сотрудников могут быть учтены только при заключении таковых с образовательными учреждениями; в случае заключения таковых через посредников - необходимо учитывать субъекта, у которого возникают права и обязанности по договору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264 НК РФ, расходы на обучение сотрудников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02.06.25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03-03-06/3/54023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случаи неправомерности признания в составе расходов по налогу на прибыль затрат на рекламу в интернете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264 НК РФ, реклама, интернет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06.06.25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03-03-06/1/55932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Пропуск срока для списания безнадёжной задолженности лишает права на учёт таковой в составе внереализационных расходов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266 НК РФ, безнадёжная задолженность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16.04.25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А42-408/2021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Отражать ошибки прошлых лет в налоговом периоде с большей ставкой по налогу на прибыль неправомерно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54 НК РФ, статья 81 НК РФ, исправление ошибок прошлых лет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30.06.25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03-03-06/1/63275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3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Если кредиторская задолженность отражена в учёте вследствие фиктивных операций, то вопрос её включения в состав внереализационных доходов необходимо исследовать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Статья 250 НК РФ, статья 54.1 НК </w:t>
            </w:r>
            <w:proofErr w:type="gram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РФ,  кредиторская</w:t>
            </w:r>
            <w:proofErr w:type="gramEnd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 задолженность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25.06.25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310-ЭС25-5237</w:t>
            </w:r>
          </w:p>
        </w:tc>
      </w:tr>
    </w:tbl>
    <w:p w:rsidR="007850DE" w:rsidRPr="007348CD" w:rsidRDefault="007850DE">
      <w:pPr>
        <w:jc w:val="center"/>
        <w:rPr>
          <w:sz w:val="22"/>
          <w:szCs w:val="22"/>
        </w:rPr>
      </w:pPr>
    </w:p>
    <w:p w:rsidR="007850DE" w:rsidRPr="007348CD" w:rsidRDefault="007850DE">
      <w:pPr>
        <w:jc w:val="center"/>
        <w:rPr>
          <w:sz w:val="22"/>
          <w:szCs w:val="22"/>
        </w:rPr>
      </w:pPr>
    </w:p>
    <w:p w:rsidR="007348CD" w:rsidRPr="0096729B" w:rsidRDefault="007348CD" w:rsidP="007348CD">
      <w:pPr>
        <w:jc w:val="center"/>
        <w:rPr>
          <w:rFonts w:ascii="Times New Roman" w:hAnsi="Times New Roman"/>
          <w:b/>
          <w:sz w:val="22"/>
          <w:szCs w:val="22"/>
        </w:rPr>
      </w:pPr>
      <w:r w:rsidRPr="007348CD">
        <w:rPr>
          <w:rFonts w:ascii="Times New Roman" w:hAnsi="Times New Roman"/>
          <w:b/>
          <w:sz w:val="22"/>
          <w:szCs w:val="22"/>
        </w:rPr>
        <w:t>Страховые взносы</w:t>
      </w:r>
    </w:p>
    <w:p w:rsidR="007850DE" w:rsidRPr="007348CD" w:rsidRDefault="007850DE">
      <w:pPr>
        <w:jc w:val="center"/>
        <w:rPr>
          <w:sz w:val="22"/>
          <w:szCs w:val="22"/>
        </w:rPr>
      </w:pPr>
    </w:p>
    <w:tbl>
      <w:tblPr>
        <w:tblW w:w="10773" w:type="dxa"/>
        <w:tblInd w:w="559" w:type="dxa"/>
        <w:tblLayout w:type="fixed"/>
        <w:tblLook w:val="04A0" w:firstRow="1" w:lastRow="0" w:firstColumn="1" w:lastColumn="0" w:noHBand="0" w:noVBand="1"/>
      </w:tblPr>
      <w:tblGrid>
        <w:gridCol w:w="514"/>
        <w:gridCol w:w="3739"/>
        <w:gridCol w:w="2068"/>
        <w:gridCol w:w="1200"/>
        <w:gridCol w:w="964"/>
        <w:gridCol w:w="1200"/>
        <w:gridCol w:w="1088"/>
      </w:tblGrid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Компенсационные выплаты должны быть обусловлены наличием вредности производственных факторов, а при отсутствии таковых переквалифицируются в доплаты и надбавки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компенсационные выплаты, вредные условия труда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01.11.25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301-ЭС25-10784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Установлена предельная сумма для применения регрессивной ставки по страховым взносам на 2026 год в размере 2 979 000 рублей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Предельная сумма страховых взносов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31.10.25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1705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3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Компенсация за использование личного автомобиля была включена в базу для расчёта страховых взносов, поскольку не был доказан производственный характер разъездов и адекватность сумм компенсации характеристикам автомобиля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компенсация за использование личного имущества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ВВО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22.08.25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А82-13492/2024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Налоговый орган правомерно переквалифицировал отношения с индивидуальным предпринимателем в трудовые отношения,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доначислив</w:t>
            </w:r>
            <w:proofErr w:type="spellEnd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 страховые взносы и НДФЛ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индивидуальный предприниматель, трудовые отношения, переквалификация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17.09.25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301-ЭС25-9832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Применение пониженных тарифов для обрабатывающих производств правомерно, если по одному основному (а не сумме нескольких) виду деятельность сумма доходов превышает 70%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427 НК РФ, пониженные тарифы, обрабатывающие производства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31.07.25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03-15-05/74287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 заключении с физическим лицом договора хранения на выплаты по таковому начисляются страховые взносы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договор хранения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13.05.25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03-15-06/46644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Выплаты по фантомным опционам не есть дивиденды, вследствие чего облагаются страховыми взносами в общеустановленном порядке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фантомные опционы, дивиденды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17.06.25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03-15-05/58680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Компенсационные выплаты должны зависеть от степени вредности производственных факторов, а не занимаемой должности, вследствие чего таковые переквалифицируются в доплаты и надбавки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компенсационные выплаты, вредные условия труда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25.06.25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301-ЭС25-5138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Разъяснены правила освобождения от обложения страховыми взносами сумм выходного пособия при увольнении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увольнение, выходное пособие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15.05.25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03-04-06/47601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Если субъект малого предпринимательства изменит в ЕГРЮЛ ОКВЭД на обрабатывающее производство, то применять соответствующие тарифы он сможет только со следующего года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427 НК РФ, пониженные тарифы, обрабатывающие производства, ОКВЭД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19.03.25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03-15-07/27039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Ежемесячная выплата дивидендов переквалифицирована в заработную плату, на которую подлежат начислению страховые взносы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420 НК РФ, статья 422 НК РФ, дивиденды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22.05.23</w:t>
            </w:r>
          </w:p>
        </w:tc>
        <w:tc>
          <w:tcPr>
            <w:tcW w:w="1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А05-3395/2022</w:t>
            </w:r>
          </w:p>
        </w:tc>
      </w:tr>
    </w:tbl>
    <w:p w:rsidR="007850DE" w:rsidRPr="007348CD" w:rsidRDefault="007850DE">
      <w:pPr>
        <w:jc w:val="center"/>
        <w:rPr>
          <w:sz w:val="22"/>
          <w:szCs w:val="22"/>
        </w:rPr>
      </w:pPr>
    </w:p>
    <w:p w:rsidR="007348CD" w:rsidRPr="0096729B" w:rsidRDefault="007348CD" w:rsidP="007348CD">
      <w:pPr>
        <w:jc w:val="center"/>
        <w:rPr>
          <w:rFonts w:ascii="Times New Roman" w:hAnsi="Times New Roman"/>
          <w:b/>
          <w:sz w:val="22"/>
          <w:szCs w:val="22"/>
        </w:rPr>
      </w:pPr>
      <w:r w:rsidRPr="007348CD">
        <w:rPr>
          <w:rFonts w:ascii="Times New Roman" w:hAnsi="Times New Roman"/>
          <w:b/>
          <w:sz w:val="22"/>
          <w:szCs w:val="22"/>
        </w:rPr>
        <w:lastRenderedPageBreak/>
        <w:t>Налог на доходы физических лиц (НДФЛ)</w:t>
      </w:r>
    </w:p>
    <w:p w:rsidR="007850DE" w:rsidRPr="007348CD" w:rsidRDefault="007850DE">
      <w:pPr>
        <w:jc w:val="center"/>
        <w:rPr>
          <w:sz w:val="22"/>
          <w:szCs w:val="22"/>
        </w:rPr>
      </w:pPr>
    </w:p>
    <w:tbl>
      <w:tblPr>
        <w:tblW w:w="10773" w:type="dxa"/>
        <w:tblInd w:w="559" w:type="dxa"/>
        <w:tblLayout w:type="fixed"/>
        <w:tblLook w:val="04A0" w:firstRow="1" w:lastRow="0" w:firstColumn="1" w:lastColumn="0" w:noHBand="0" w:noVBand="1"/>
      </w:tblPr>
      <w:tblGrid>
        <w:gridCol w:w="514"/>
        <w:gridCol w:w="3739"/>
        <w:gridCol w:w="2126"/>
        <w:gridCol w:w="1200"/>
        <w:gridCol w:w="964"/>
        <w:gridCol w:w="1200"/>
        <w:gridCol w:w="1030"/>
      </w:tblGrid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Занижение выкупной стоимости предмета лизинга есть злоупотребление правом, приводящее к сокрытию выручки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210 НК РФ, лизинг, выкупная стоимость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27.10.25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304-ЭС25-10850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Передача между близкими родственниками в дар имущества, имеющего предпринимательское назначение, не освобождается от уплаты НДФЛ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217 НК РФ, статья 217.1 НК РФ, недвижимое имущество, близкие родственники, дарение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27.01.25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310-ЭС25-10172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Срок владения построенным домом в целях применения налоговой льготы по НДФЛ следует исчислять с момента приобретения объекта неоконченного капитального строительства, на базе которого и был построен указанный дом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217.1 НК РФ, недвижимость, минимальный срок владения, объект неоконченного капитального строительства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Кассационное 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17.09.25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43-КАД25-2-К6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Поступление денежных средств на карту руководителя с их последующим расходованием в личных целях было признано оплатой труда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210 НК РФ, подотчётные суммы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УО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19.03.25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Ф09-436/2025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Подотчётные суммы, использованные работником для оплаты по сделкам, признанными налоговым органом фиктивными, были включены в состав объекта обложения НДФЛ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210 НК РФ, подотчётные суммы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21.08.25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А52-5305/2023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Уплата НДФЛ при работе российского лица на территории Российской Федерации в армянской организации подчиняется требованиями Конвенции об устранении двойного налогообложения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224 НК РФ, Республика Армения, налоговый резидент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04.07.25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03-08-09/65367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Налоговый орган правомерно переквалифицировал отношения с индивидуальным предпринимателем в трудовые отношения,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доначислив</w:t>
            </w:r>
            <w:proofErr w:type="spellEnd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 страховые взносы и НДФЛ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208 НК РФ, статья 226 НК РФ, индивидуальный предприниматель, трудовые отношения, переквалификация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17.09.25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301-ЭС25-9832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Уплата НДФЛ при работе российского лица на территории Российской Федерации в казахстанской организации подчиняется требованиями Конвенции об устранении двойного налогообложения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224 НК РФ, Республика Казахстан, налоговый резидент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04.07.25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03-08-09/65457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lastRenderedPageBreak/>
              <w:t>9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Уплата НДФЛ при работе российского лица на территории Республики Казахстан подчиняется требованиями Конвенции об устранении двойного налогообложения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224 НК РФ, Республика Казахстан, налоговый нерезидент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11.07.25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03-08-05/67689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 наличии у физического лица статуса налогового нерезидента НДФЛ начисляется по ставке 30%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224 НК РФ, ставка 30%, налоговый нерезидент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1580-О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Признание договора купли-продажи недвижимости недействительным исключает возможность признания полученной оплаты за таковую доходом ввиду отсутствия права на указанные денежные средства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41 НК РФ, статья 209 НК РФ, недействительность сделки, реституция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Кассационное 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23.07.25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53-КАД25-3-К8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Справка об оплате образовательных услуг выдаётся за тот налоговый период, в котором таковые были оплачены, но в оказанной части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22.05.25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03-04-05/49964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При неправомерном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неудержании</w:t>
            </w:r>
            <w:proofErr w:type="spellEnd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 НДФЛ вследствие фиктивных отношений с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самозанятыми</w:t>
            </w:r>
            <w:proofErr w:type="spellEnd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 сумма подлежащего взысканию НДФЛ не может быть уменьшена на суммы налогов, уплаченных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самозанятыми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Статья 226 НК РФ, статья 54.1 НК РФ, налоговый агент, </w:t>
            </w:r>
            <w:proofErr w:type="spellStart"/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самозанятость</w:t>
            </w:r>
            <w:proofErr w:type="spellEnd"/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08.08.25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310-ЭС24-24050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Справка об оплате образовательных услуг выдаётся за тот налоговый период, в котором таковые были оплачены, но в оказанной части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18.06.25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03-04-05/58964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Справка об оплате образовательных услуг выдаётся за тот налоговый период, в котором таковые были оплачены, но в оказанной части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15.04.25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03-04-05/37415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16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Документально неподтверждённые подотчётные суммы налоговый орган переквалифицировал в оплату труда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210 НК РФ, подотчётные суммы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306-ЭС25-8143</w:t>
            </w:r>
          </w:p>
        </w:tc>
      </w:tr>
      <w:tr w:rsidR="007850DE" w:rsidRPr="007348CD" w:rsidTr="007348CD"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Компенсация за вредные условия труда облагается НДФЛ, если нет конкретизации такой вредности и её обоснования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217 НК РФ, вредные условия труда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ВВО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16.07.25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А43-32997/2022</w:t>
            </w:r>
          </w:p>
        </w:tc>
      </w:tr>
    </w:tbl>
    <w:p w:rsidR="007850DE" w:rsidRPr="007348CD" w:rsidRDefault="007850DE">
      <w:pPr>
        <w:jc w:val="center"/>
        <w:rPr>
          <w:sz w:val="22"/>
          <w:szCs w:val="22"/>
        </w:rPr>
      </w:pPr>
    </w:p>
    <w:p w:rsidR="007850DE" w:rsidRDefault="007850DE">
      <w:pPr>
        <w:jc w:val="center"/>
        <w:rPr>
          <w:sz w:val="22"/>
          <w:szCs w:val="22"/>
        </w:rPr>
      </w:pPr>
    </w:p>
    <w:p w:rsidR="007348CD" w:rsidRDefault="007348CD">
      <w:pPr>
        <w:jc w:val="center"/>
        <w:rPr>
          <w:sz w:val="22"/>
          <w:szCs w:val="22"/>
        </w:rPr>
      </w:pPr>
    </w:p>
    <w:p w:rsidR="007348CD" w:rsidRDefault="007348CD">
      <w:pPr>
        <w:jc w:val="center"/>
        <w:rPr>
          <w:sz w:val="22"/>
          <w:szCs w:val="22"/>
        </w:rPr>
      </w:pPr>
    </w:p>
    <w:p w:rsidR="007348CD" w:rsidRDefault="007348CD">
      <w:pPr>
        <w:jc w:val="center"/>
        <w:rPr>
          <w:sz w:val="22"/>
          <w:szCs w:val="22"/>
        </w:rPr>
      </w:pPr>
    </w:p>
    <w:p w:rsidR="007348CD" w:rsidRDefault="007348CD">
      <w:pPr>
        <w:jc w:val="center"/>
        <w:rPr>
          <w:sz w:val="22"/>
          <w:szCs w:val="22"/>
        </w:rPr>
      </w:pPr>
    </w:p>
    <w:p w:rsidR="007348CD" w:rsidRDefault="007348CD">
      <w:pPr>
        <w:jc w:val="center"/>
        <w:rPr>
          <w:sz w:val="22"/>
          <w:szCs w:val="22"/>
        </w:rPr>
      </w:pPr>
    </w:p>
    <w:p w:rsidR="007348CD" w:rsidRDefault="007348CD">
      <w:pPr>
        <w:jc w:val="center"/>
        <w:rPr>
          <w:sz w:val="22"/>
          <w:szCs w:val="22"/>
        </w:rPr>
      </w:pPr>
    </w:p>
    <w:p w:rsidR="007348CD" w:rsidRPr="007348CD" w:rsidRDefault="007348CD">
      <w:pPr>
        <w:jc w:val="center"/>
        <w:rPr>
          <w:sz w:val="22"/>
          <w:szCs w:val="22"/>
        </w:rPr>
      </w:pPr>
    </w:p>
    <w:p w:rsidR="007348CD" w:rsidRPr="0096729B" w:rsidRDefault="007348CD" w:rsidP="007348CD">
      <w:pPr>
        <w:jc w:val="center"/>
        <w:rPr>
          <w:rFonts w:ascii="Times New Roman" w:hAnsi="Times New Roman"/>
          <w:b/>
          <w:sz w:val="22"/>
          <w:szCs w:val="22"/>
        </w:rPr>
      </w:pPr>
      <w:r w:rsidRPr="007348CD">
        <w:rPr>
          <w:rFonts w:ascii="Times New Roman" w:hAnsi="Times New Roman"/>
          <w:b/>
          <w:sz w:val="22"/>
          <w:szCs w:val="22"/>
        </w:rPr>
        <w:lastRenderedPageBreak/>
        <w:t>Имущественные налоги</w:t>
      </w:r>
    </w:p>
    <w:p w:rsidR="007850DE" w:rsidRPr="007348CD" w:rsidRDefault="007850DE">
      <w:pPr>
        <w:jc w:val="center"/>
        <w:rPr>
          <w:sz w:val="22"/>
          <w:szCs w:val="22"/>
        </w:rPr>
      </w:pPr>
    </w:p>
    <w:tbl>
      <w:tblPr>
        <w:tblW w:w="10914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25"/>
        <w:gridCol w:w="3869"/>
        <w:gridCol w:w="2057"/>
        <w:gridCol w:w="1200"/>
        <w:gridCol w:w="975"/>
        <w:gridCol w:w="1189"/>
        <w:gridCol w:w="1099"/>
      </w:tblGrid>
      <w:tr w:rsidR="007850DE" w:rsidRPr="007348CD" w:rsidTr="007348C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3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Оборудование, смонтированное в здании для его обслуживания и комфортного использования, не может автоматически быть отнесённым на увеличение стоимости здания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374 НК РФ, недвижимости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УО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17.09.25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А76-14187/2024</w:t>
            </w:r>
          </w:p>
        </w:tc>
      </w:tr>
      <w:tr w:rsidR="007850DE" w:rsidRPr="007348CD" w:rsidTr="007348C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3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Даже при продаже всех помещений в здании, но при сохранении записи в ЕГРН за собственником здания, последний должен уплачивать налог на имущество по указанному зданию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374 НК РФ, статья 378.2 НК РФ, запись в ЕГРН, здание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21.07.25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305-ЭС25-6091</w:t>
            </w:r>
          </w:p>
        </w:tc>
      </w:tr>
      <w:tr w:rsidR="007850DE" w:rsidRPr="007348CD" w:rsidTr="007348C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3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Не любые элементы кабельных линий могут быть признаны неотъемлемой частью таковых, вследствие чего могут квалифицироваться как движимое имущество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left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09.07.25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305-ЭС25-6581</w:t>
            </w:r>
          </w:p>
        </w:tc>
      </w:tr>
      <w:tr w:rsidR="007850DE" w:rsidRPr="007348CD" w:rsidTr="007348C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3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Земельный налог в отношении з</w:t>
            </w:r>
            <w:r w:rsidR="001440D9">
              <w:rPr>
                <w:rFonts w:ascii="Tahoma" w:hAnsi="Tahoma"/>
                <w:color w:val="000000" w:themeColor="dark1"/>
                <w:sz w:val="22"/>
                <w:szCs w:val="22"/>
              </w:rPr>
              <w:t>е</w:t>
            </w: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мельного участка под многоквартирным домом не подлежит уплате собственниками ни жилых, ни нежилых помещений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389 НК РФ, многоквартирный дом, земельный участок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27.05.25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03-05-06-03/52038</w:t>
            </w:r>
          </w:p>
        </w:tc>
      </w:tr>
      <w:tr w:rsidR="007850DE" w:rsidRPr="007348CD" w:rsidTr="007348CD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3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Остаточная стоимость сносимого в целях нового строительства здания включается в состав капитальных вложений по новому строительству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Статья 375 НК РФ, снос здания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ФАС МО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27.05.25</w:t>
            </w:r>
          </w:p>
        </w:tc>
        <w:tc>
          <w:tcPr>
            <w:tcW w:w="1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50DE" w:rsidRPr="007348CD" w:rsidRDefault="007348CD">
            <w:pPr>
              <w:jc w:val="center"/>
              <w:rPr>
                <w:rFonts w:ascii="Tahoma" w:hAnsi="Tahoma"/>
                <w:color w:val="000000" w:themeColor="dark1"/>
                <w:sz w:val="22"/>
                <w:szCs w:val="22"/>
              </w:rPr>
            </w:pPr>
            <w:r w:rsidRPr="007348CD">
              <w:rPr>
                <w:rFonts w:ascii="Tahoma" w:hAnsi="Tahoma"/>
                <w:color w:val="000000" w:themeColor="dark1"/>
                <w:sz w:val="22"/>
                <w:szCs w:val="22"/>
              </w:rPr>
              <w:t>А40-63845/2024</w:t>
            </w:r>
          </w:p>
        </w:tc>
      </w:tr>
    </w:tbl>
    <w:p w:rsidR="007850DE" w:rsidRDefault="007850DE">
      <w:pPr>
        <w:jc w:val="center"/>
        <w:rPr>
          <w:sz w:val="22"/>
          <w:szCs w:val="22"/>
        </w:rPr>
      </w:pPr>
    </w:p>
    <w:p w:rsidR="001440D9" w:rsidRDefault="001440D9">
      <w:pPr>
        <w:jc w:val="center"/>
        <w:rPr>
          <w:sz w:val="22"/>
          <w:szCs w:val="22"/>
        </w:rPr>
      </w:pPr>
    </w:p>
    <w:p w:rsidR="001440D9" w:rsidRDefault="001440D9" w:rsidP="001440D9">
      <w:pPr>
        <w:jc w:val="center"/>
        <w:rPr>
          <w:b/>
          <w:sz w:val="22"/>
        </w:rPr>
      </w:pPr>
      <w:proofErr w:type="spellStart"/>
      <w:r w:rsidRPr="001440D9">
        <w:rPr>
          <w:b/>
          <w:sz w:val="22"/>
        </w:rPr>
        <w:t>Телеграм</w:t>
      </w:r>
      <w:proofErr w:type="spellEnd"/>
      <w:r w:rsidRPr="001440D9">
        <w:rPr>
          <w:b/>
          <w:sz w:val="22"/>
        </w:rPr>
        <w:t>-каналы «Центра финансовых экспертиз»</w:t>
      </w:r>
    </w:p>
    <w:p w:rsidR="001440D9" w:rsidRPr="001440D9" w:rsidRDefault="001440D9" w:rsidP="001440D9">
      <w:pPr>
        <w:jc w:val="center"/>
        <w:rPr>
          <w:b/>
          <w:sz w:val="22"/>
        </w:rPr>
      </w:pPr>
    </w:p>
    <w:p w:rsidR="001440D9" w:rsidRDefault="001440D9" w:rsidP="001440D9">
      <w:pPr>
        <w:ind w:left="567"/>
        <w:jc w:val="left"/>
        <w:rPr>
          <w:noProof/>
          <w:sz w:val="20"/>
        </w:rPr>
      </w:pPr>
      <w:r w:rsidRPr="001440D9">
        <w:rPr>
          <w:noProof/>
          <w:sz w:val="20"/>
        </w:rPr>
        <w:drawing>
          <wp:inline distT="0" distB="0" distL="0" distR="0" wp14:anchorId="5824D607" wp14:editId="18339CBE">
            <wp:extent cx="1791506" cy="215011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699" cy="216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>
        <w:rPr>
          <w:noProof/>
          <w:sz w:val="20"/>
        </w:rPr>
        <w:tab/>
      </w:r>
      <w:r w:rsidRPr="001440D9">
        <w:rPr>
          <w:noProof/>
          <w:sz w:val="20"/>
        </w:rPr>
        <w:drawing>
          <wp:inline distT="0" distB="0" distL="0" distR="0" wp14:anchorId="26B3F284" wp14:editId="606B8C64">
            <wp:extent cx="1738630" cy="2081897"/>
            <wp:effectExtent l="0" t="0" r="0" b="0"/>
            <wp:docPr id="4" name="Рисунок 4" descr="C:\Data\ЦФЭОформление\ТГ_ГорячаяЛи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ЦФЭОформление\ТГ_ГорячаяЛини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556" cy="212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0D9" w:rsidRPr="001440D9" w:rsidRDefault="001440D9" w:rsidP="001440D9">
      <w:pPr>
        <w:ind w:left="709"/>
        <w:rPr>
          <w:b/>
          <w:noProof/>
          <w:sz w:val="20"/>
        </w:rPr>
      </w:pPr>
      <w:r w:rsidRPr="001440D9">
        <w:rPr>
          <w:b/>
          <w:noProof/>
          <w:sz w:val="20"/>
        </w:rPr>
        <w:t>«Бухгалтер и Бизнес»</w:t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  <w:t xml:space="preserve">  «Горячая линия»</w:t>
      </w:r>
    </w:p>
    <w:p w:rsidR="001440D9" w:rsidRPr="001440D9" w:rsidRDefault="001440D9" w:rsidP="001440D9">
      <w:pPr>
        <w:ind w:left="567"/>
        <w:jc w:val="left"/>
        <w:rPr>
          <w:noProof/>
          <w:sz w:val="20"/>
        </w:rPr>
      </w:pPr>
      <w:bookmarkStart w:id="0" w:name="_GoBack"/>
      <w:bookmarkEnd w:id="0"/>
    </w:p>
    <w:p w:rsidR="001440D9" w:rsidRPr="001440D9" w:rsidRDefault="001440D9" w:rsidP="001440D9">
      <w:pPr>
        <w:jc w:val="center"/>
        <w:rPr>
          <w:rFonts w:cs="Courier New"/>
          <w:b/>
          <w:noProof/>
          <w:sz w:val="20"/>
        </w:rPr>
      </w:pPr>
    </w:p>
    <w:p w:rsidR="001440D9" w:rsidRPr="001440D9" w:rsidRDefault="001440D9" w:rsidP="001440D9">
      <w:pPr>
        <w:jc w:val="center"/>
        <w:rPr>
          <w:rFonts w:cs="Courier New"/>
          <w:b/>
          <w:sz w:val="20"/>
        </w:rPr>
      </w:pPr>
      <w:r w:rsidRPr="001440D9">
        <w:rPr>
          <w:rFonts w:cs="Courier New"/>
          <w:b/>
          <w:sz w:val="20"/>
        </w:rPr>
        <w:t>КОНТАКТЫ</w:t>
      </w:r>
    </w:p>
    <w:p w:rsidR="001440D9" w:rsidRPr="001440D9" w:rsidRDefault="001440D9" w:rsidP="001440D9">
      <w:pPr>
        <w:widowControl w:val="0"/>
        <w:autoSpaceDE w:val="0"/>
        <w:autoSpaceDN w:val="0"/>
        <w:adjustRightInd w:val="0"/>
        <w:spacing w:before="20" w:after="20"/>
        <w:ind w:firstLine="709"/>
        <w:jc w:val="center"/>
        <w:rPr>
          <w:rFonts w:cs="Courier New"/>
          <w:b/>
          <w:color w:val="auto"/>
          <w:sz w:val="20"/>
          <w:szCs w:val="18"/>
        </w:rPr>
      </w:pPr>
      <w:r w:rsidRPr="001440D9">
        <w:rPr>
          <w:rFonts w:cs="Courier New"/>
          <w:b/>
          <w:color w:val="auto"/>
          <w:sz w:val="20"/>
          <w:szCs w:val="18"/>
        </w:rPr>
        <w:t>(812) 920-12-14, (911) 920-12-14 МТС (ЦФЭ Клиент-Менеджер)</w:t>
      </w:r>
    </w:p>
    <w:p w:rsidR="001440D9" w:rsidRPr="001440D9" w:rsidRDefault="001440D9" w:rsidP="001440D9">
      <w:pPr>
        <w:widowControl w:val="0"/>
        <w:autoSpaceDE w:val="0"/>
        <w:autoSpaceDN w:val="0"/>
        <w:adjustRightInd w:val="0"/>
        <w:spacing w:before="20" w:after="20"/>
        <w:ind w:firstLine="709"/>
        <w:jc w:val="center"/>
        <w:rPr>
          <w:rFonts w:cs="Courier New"/>
          <w:b/>
          <w:color w:val="auto"/>
          <w:sz w:val="20"/>
          <w:szCs w:val="18"/>
        </w:rPr>
      </w:pPr>
      <w:r w:rsidRPr="001440D9">
        <w:rPr>
          <w:rFonts w:cs="Courier New"/>
          <w:b/>
          <w:color w:val="auto"/>
          <w:sz w:val="20"/>
          <w:szCs w:val="18"/>
        </w:rPr>
        <w:t>(995) 231-95-43 Теле2 (ЦФЭ Семинар для бухгалтера)</w:t>
      </w:r>
    </w:p>
    <w:p w:rsidR="001440D9" w:rsidRPr="001440D9" w:rsidRDefault="001440D9" w:rsidP="001440D9">
      <w:pPr>
        <w:widowControl w:val="0"/>
        <w:autoSpaceDE w:val="0"/>
        <w:autoSpaceDN w:val="0"/>
        <w:adjustRightInd w:val="0"/>
        <w:spacing w:before="20" w:after="20"/>
        <w:ind w:firstLine="709"/>
        <w:jc w:val="center"/>
        <w:rPr>
          <w:rFonts w:cs="Courier New"/>
          <w:b/>
          <w:color w:val="auto"/>
          <w:sz w:val="20"/>
          <w:szCs w:val="18"/>
        </w:rPr>
      </w:pPr>
      <w:r w:rsidRPr="001440D9">
        <w:rPr>
          <w:rFonts w:cs="Courier New"/>
          <w:b/>
          <w:color w:val="auto"/>
          <w:sz w:val="20"/>
          <w:szCs w:val="18"/>
        </w:rPr>
        <w:t xml:space="preserve">(911) 992-65-69 </w:t>
      </w:r>
      <w:r w:rsidRPr="001440D9">
        <w:rPr>
          <w:rFonts w:cs="Courier New"/>
          <w:b/>
          <w:color w:val="auto"/>
          <w:sz w:val="20"/>
          <w:szCs w:val="18"/>
          <w:lang w:val="en-US"/>
        </w:rPr>
        <w:t>MTC</w:t>
      </w:r>
      <w:r w:rsidRPr="001440D9">
        <w:rPr>
          <w:rFonts w:cs="Courier New"/>
          <w:b/>
          <w:color w:val="auto"/>
          <w:sz w:val="20"/>
          <w:szCs w:val="18"/>
        </w:rPr>
        <w:t xml:space="preserve"> (Центр финансовых экспертиз - руководитель)</w:t>
      </w:r>
    </w:p>
    <w:p w:rsidR="001440D9" w:rsidRPr="001440D9" w:rsidRDefault="001440D9" w:rsidP="001440D9">
      <w:pPr>
        <w:jc w:val="center"/>
        <w:rPr>
          <w:b/>
          <w:noProof/>
          <w:sz w:val="20"/>
        </w:rPr>
      </w:pPr>
    </w:p>
    <w:p w:rsidR="001440D9" w:rsidRPr="001440D9" w:rsidRDefault="001440D9" w:rsidP="001440D9">
      <w:pPr>
        <w:jc w:val="center"/>
        <w:rPr>
          <w:b/>
          <w:noProof/>
          <w:sz w:val="20"/>
        </w:rPr>
      </w:pPr>
    </w:p>
    <w:p w:rsidR="001440D9" w:rsidRPr="001440D9" w:rsidRDefault="001440D9" w:rsidP="001440D9">
      <w:pPr>
        <w:jc w:val="center"/>
        <w:rPr>
          <w:b/>
          <w:noProof/>
          <w:sz w:val="20"/>
        </w:rPr>
      </w:pPr>
      <w:r w:rsidRPr="001440D9">
        <w:rPr>
          <w:b/>
          <w:noProof/>
          <w:sz w:val="20"/>
        </w:rPr>
        <w:t xml:space="preserve">НАШ ИДЕНТИФИКАТОР В ЭДО (СБИС) </w:t>
      </w:r>
    </w:p>
    <w:p w:rsidR="001440D9" w:rsidRPr="001440D9" w:rsidRDefault="001440D9" w:rsidP="001440D9">
      <w:pPr>
        <w:jc w:val="center"/>
        <w:rPr>
          <w:b/>
          <w:noProof/>
          <w:sz w:val="20"/>
        </w:rPr>
      </w:pPr>
      <w:r w:rsidRPr="001440D9">
        <w:rPr>
          <w:b/>
          <w:noProof/>
          <w:sz w:val="20"/>
        </w:rPr>
        <w:t>2BEdc9b36e2120a4ec59f316e4f43bfb9b4</w:t>
      </w:r>
    </w:p>
    <w:p w:rsidR="001440D9" w:rsidRPr="007348CD" w:rsidRDefault="001440D9">
      <w:pPr>
        <w:jc w:val="center"/>
        <w:rPr>
          <w:sz w:val="22"/>
          <w:szCs w:val="22"/>
        </w:rPr>
      </w:pPr>
    </w:p>
    <w:sectPr w:rsidR="001440D9" w:rsidRPr="007348CD" w:rsidSect="007348CD">
      <w:footerReference w:type="default" r:id="rId8"/>
      <w:pgSz w:w="11908" w:h="16848"/>
      <w:pgMar w:top="709" w:right="144" w:bottom="850" w:left="142" w:header="850" w:footer="28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4A0" w:rsidRDefault="00A564A0" w:rsidP="007348CD">
      <w:r>
        <w:separator/>
      </w:r>
    </w:p>
  </w:endnote>
  <w:endnote w:type="continuationSeparator" w:id="0">
    <w:p w:rsidR="00A564A0" w:rsidRDefault="00A564A0" w:rsidP="00734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9832820"/>
      <w:docPartObj>
        <w:docPartGallery w:val="Page Numbers (Bottom of Page)"/>
        <w:docPartUnique/>
      </w:docPartObj>
    </w:sdtPr>
    <w:sdtContent>
      <w:p w:rsidR="007348CD" w:rsidRDefault="007348C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40D9">
          <w:rPr>
            <w:noProof/>
          </w:rPr>
          <w:t>12</w:t>
        </w:r>
        <w:r>
          <w:fldChar w:fldCharType="end"/>
        </w:r>
      </w:p>
    </w:sdtContent>
  </w:sdt>
  <w:p w:rsidR="007348CD" w:rsidRDefault="007348C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4A0" w:rsidRDefault="00A564A0" w:rsidP="007348CD">
      <w:r>
        <w:separator/>
      </w:r>
    </w:p>
  </w:footnote>
  <w:footnote w:type="continuationSeparator" w:id="0">
    <w:p w:rsidR="00A564A0" w:rsidRDefault="00A564A0" w:rsidP="007348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0DE"/>
    <w:rsid w:val="001440D9"/>
    <w:rsid w:val="006E0AC7"/>
    <w:rsid w:val="007348CD"/>
    <w:rsid w:val="007850DE"/>
    <w:rsid w:val="0096729B"/>
    <w:rsid w:val="00A5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50CED5-0250-4D69-8902-4FDD9E52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rFonts w:ascii="Courier New" w:hAnsi="Courier New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ourier New" w:hAnsi="Courier New"/>
      <w:color w:val="000000"/>
      <w:spacing w:val="0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pacing w:val="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pacing w:val="0"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pacing w:val="0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rFonts w:ascii="XO Thames" w:hAnsi="XO Thames"/>
      <w:b/>
      <w:sz w:val="28"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pacing w:val="0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pacing w:val="0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pacing w:val="0"/>
      <w:sz w:val="28"/>
    </w:rPr>
  </w:style>
  <w:style w:type="paragraph" w:styleId="a4">
    <w:name w:val="Subtitle"/>
    <w:basedOn w:val="a"/>
    <w:next w:val="a"/>
    <w:link w:val="a5"/>
    <w:uiPriority w:val="11"/>
    <w:qFormat/>
    <w:rPr>
      <w:rFonts w:ascii="XO Thames" w:hAnsi="XO Thames"/>
      <w:i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000000"/>
      <w:spacing w:val="0"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pacing w:val="0"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0000"/>
      <w:spacing w:val="0"/>
      <w:sz w:val="28"/>
    </w:rPr>
  </w:style>
  <w:style w:type="paragraph" w:styleId="a8">
    <w:name w:val="header"/>
    <w:basedOn w:val="a"/>
    <w:link w:val="a9"/>
    <w:uiPriority w:val="99"/>
    <w:unhideWhenUsed/>
    <w:rsid w:val="007348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348CD"/>
    <w:rPr>
      <w:rFonts w:ascii="Courier New" w:hAnsi="Courier New"/>
    </w:rPr>
  </w:style>
  <w:style w:type="paragraph" w:styleId="aa">
    <w:name w:val="footer"/>
    <w:basedOn w:val="a"/>
    <w:link w:val="ab"/>
    <w:uiPriority w:val="99"/>
    <w:unhideWhenUsed/>
    <w:rsid w:val="007348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348CD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3947</Words>
  <Characters>22502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Балдина</cp:lastModifiedBy>
  <cp:revision>3</cp:revision>
  <dcterms:created xsi:type="dcterms:W3CDTF">2025-12-14T17:13:00Z</dcterms:created>
  <dcterms:modified xsi:type="dcterms:W3CDTF">2025-12-14T17:25:00Z</dcterms:modified>
</cp:coreProperties>
</file>