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746" w:rsidRPr="00AE34DE" w:rsidRDefault="00C53746" w:rsidP="00C53746">
      <w:pPr>
        <w:jc w:val="center"/>
        <w:rPr>
          <w:rFonts w:ascii="Times New Roman" w:hAnsi="Times New Roman"/>
          <w:b/>
          <w:sz w:val="24"/>
          <w:szCs w:val="24"/>
        </w:rPr>
      </w:pPr>
      <w:r w:rsidRPr="00AE34DE">
        <w:rPr>
          <w:rFonts w:ascii="Times New Roman" w:hAnsi="Times New Roman"/>
          <w:b/>
          <w:sz w:val="24"/>
          <w:szCs w:val="24"/>
        </w:rPr>
        <w:t xml:space="preserve">НОВЫЕ ДОКУМЕНТЫ К </w:t>
      </w:r>
      <w:r>
        <w:rPr>
          <w:rFonts w:ascii="Times New Roman" w:hAnsi="Times New Roman"/>
          <w:b/>
          <w:sz w:val="24"/>
          <w:szCs w:val="24"/>
        </w:rPr>
        <w:t>РАССМОТРЕНИЮ НА СЕМИНАРАХ – 2024 (3</w:t>
      </w:r>
      <w:r w:rsidRPr="00AE34DE">
        <w:rPr>
          <w:rFonts w:ascii="Times New Roman" w:hAnsi="Times New Roman"/>
          <w:b/>
          <w:sz w:val="24"/>
          <w:szCs w:val="24"/>
        </w:rPr>
        <w:t>)</w:t>
      </w:r>
    </w:p>
    <w:p w:rsidR="00C53746" w:rsidRDefault="00C53746" w:rsidP="00C53746">
      <w:pPr>
        <w:rPr>
          <w:rFonts w:ascii="Courier New" w:hAnsi="Courier New"/>
          <w:b/>
          <w:sz w:val="22"/>
        </w:rPr>
      </w:pPr>
    </w:p>
    <w:p w:rsidR="003106AB" w:rsidRDefault="00481096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>Общие вопросы</w:t>
      </w:r>
    </w:p>
    <w:p w:rsidR="003106AB" w:rsidRDefault="003106AB">
      <w:pPr>
        <w:rPr>
          <w:rFonts w:ascii="Courier New" w:hAnsi="Courier New"/>
          <w:sz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"/>
        <w:gridCol w:w="3724"/>
        <w:gridCol w:w="1927"/>
        <w:gridCol w:w="1235"/>
        <w:gridCol w:w="1104"/>
        <w:gridCol w:w="1077"/>
        <w:gridCol w:w="1359"/>
      </w:tblGrid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не смог доказать схему по "дроблению бизнеса", поскольку все участники бизнес-процессов действовали самостоятельно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54.1 НК РФ, взаимозависимые лица, дробление бизнеса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А57-7217/2023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при анализе расхождений в налоговых декларациях по НДС вправе истребовать любые документы, необходимые для установления значимых фактов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93 НК РФ, статья 93.1 НК РФ, истребования документов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10/09/24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305-ЭС24-17052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вправе истребовать документы у любых лиц по всей цепочке контрагентов, поскольку НК РФ ничем не ограничивает полномочия последних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93 НК РФ, статья 93.1 НК РФ, истребования документов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05/09/24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303-ЭС24-14139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привлечении к административной ответственности за несообщение в ЕГРЮЛ об изменении адреса нахождения организации регистрирующий орган обязан установить дату административного правонарушения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14.25 КоАП РФ, исключение из ЕГРЮЛ, недостоверный адрес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16/08/24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127-АД24-9-К4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Банк при введении клиента ограничительных мер обязан последнему разъяснить причины принятия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Закон №115-ФЗ, противодействие легализации, блокировка счёта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ЦБР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ИН-08-12/35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 уведомлении о контролируемых сделках информация о ценах раскрывается по всей цепочке до звена, после которого прекращается участие взаимозависимых лиц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105.14 НК РФ, статья 105.16 НК РФ, уведомление о контролируемых сделках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ЗГ-2-13/11134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препятствовании деятельности общества участник может быть исключён из состава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Закон об ООО, исключение участника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03/09/24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305-ЭС23-31044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Отмена налоговой льготы по НДС является основанием для изменения условия договора о его цене, если НДС не был включён в цену договора, поскольку НДС как косвенный налог не может уплачиваться за счёт продавца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423 ГК РФ, статья 424 ГК РФ, цена договора,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ВС РФ 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06/09/24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236-ПЭК24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Переплата за пределами трёхлетнего срока не подлежит включению в состав положительного сальдо по ЕНС, за исключением случая, если будет соответствующее решение суда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11.3 НК РФ, переплата старше трёх лет, судебное решение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07/08/24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03-02-06/73804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Налогоплательщик обосновал производственную целесообразность объединения усилий нескольких налогоплательщиков в целях достижения экономического результата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54.1 НК РФ, взаимозависимые лица, дробление бизнеса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ВСО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19/06/24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Ф02-2681/2024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Внесение имущества в уставный капитал признано притворной сделкой, прикрывающей продажу имущественного комплекса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54.1 НК РФ, взнос в уставный капитал, продажа актива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26/08/24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308-ЭС24-14427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12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России довела признаки дробления бизнеса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54.1 НК РФ, дробление бизнеса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09/08/24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СД-4-7/9113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Занижение рыночной стоимости отчуждаемого налогоплательщиком взаимозависимому лицу выкупленного лизингового автомобиля есть злоупотребление правом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105.1 НК РФ, статья 105.14 НК РФ, взаимозависимость, рыночные цены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21/08/24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306-ЭС24-13371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 01.09.2024 года существенно расширяется количество случаев обязательного досудебного оспаривания решений государственных органов в рамках разрешительной деятельности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Закон №296-ФЗ, государственный и муниципальный контроль, досудебное оспаривание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Распоряжение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Правительство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17/08/24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2229-р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Бремя обращения с отходами несёт их собственник, но в договоре можно предусмотреть особые условия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24.7 Закона об обращении с отходами, обращение с отходами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Роприроднадзор</w:t>
            </w:r>
            <w:proofErr w:type="spellEnd"/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ВЧ-10-02-34/29587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России разъяснила порядок исключения из состава сальдо ЕНС недоимки с истекшим сроком взыскания и соответствующих пеней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11.3 НК РФ, ЕНС, </w:t>
            </w:r>
          </w:p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недоимка с истекшим сроком взыскания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Д-5-08/66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Отправка требования о предоставлении документов по почте, а не по ТКС, явилась основанием для отмены штрафа за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непредоставление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93 НК РФ, статья 93.1 НК РФ, требование о предоставлении документов, ТКС, почта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УО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03/07/24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А76-27137/2023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Дебиторская задолженность не может быть отнесена к имуществу, в отношении которого вводятся обеспечительные меры на основании статьи 101 НК РФ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101 НК РФ, обеспечительные меры, дебиторская задолженность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04/07/24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А40-197432/2023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Нарушение очерёдности обеспечительных мер может быть основанием для отмены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101 НК РФ, обеспечительные меры, нарушение очерёдности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27/06/24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А36-2740/2023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Установление работнику инвалидности при отсутствии заключения по результатам экспертизы о профессиональной пригодности не может быть основанием для его увольнения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81 ТК РФ, увольнение, инвалид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1-й КСОЮ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88-19424/2024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Увольнение работника, в том числе по собственному желанию, до конца года не может быть безусловным основанием для невыплаты работнику премии по итогам года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129 ТК РФ, стимулирующая выплата, премия по итогам года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7-й КСОЮ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28/05/24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88-8932/2024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принятии исчерпывающих мер по получению пояснений работника относительно причин отсутствия на рабочем месте работодатель вправе уволить работника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81 ТК РФ, увольнение, прогул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04/03/24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4-КГ23-92-К1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Налогоплательщик и налоговый орган вправе в рамках мирового соглашения достигнуть соглашения об обстоятельствах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Мировое соглашение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07/08/24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308-ЭС24-9158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24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Производство выемки возможно не только у лица, в отношении которого проводится налоговая проверка, но и у третьих лиц, а также возможно изъятие документов, относящихся к деятельности этих лиц, если такие документы связаны с предметом проверки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94 НК РФ, выемка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1437-О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25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 отношении участников и должностных лиц организации, исключённой из ЕГРЮЛ как недействующей организации, могут применяться меры субсидиарной ответственности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ЕГРЮЛ, недействующая организация, субсидиарная ответственность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27/06/24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305-ЭС24-809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26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"Налоговая оговорка" не помогла взыскать убытки с поставщика товара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431.2 ГК РФ, статья 406.1 ГК РФ, "налоговая оговорка"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27/06/24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309-ЭС24-11765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27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Перечисление работнику заработной платы в ошибочном размере вследствие неправильного её указания в платёжном документе не есть счётная ошибка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137 ТК РФ, счётная ошибка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1-й КСОЮ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11/04/24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88-9215/2024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28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Оплата физическим лицом услуг не означает однозначного согласия на заключение договора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426 ГК РФ, статья 428 ГК РФ, статья 438 ГК РФ, договор присоединения, акцепт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КС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02/07/24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34-П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Обзор практики привлечения к административной ответственности за валютные правонарушения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15.25 КоАП РФ, валютные нарушения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Обзор судебной практики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26/06/24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3106AB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признании сделки недействительной ущерб может быть взыскан не только с покупателя, но и с иных лиц, содействующих осуществлению сделки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15 ГК РФ, статья 1064 ГК РФ, восстановление нарушенного права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13/05/24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305-ЭС23-26121(1)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31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Назначение повторной выездной налоговой проверки, обоснованной решением вышестоящего налогового органа, правомерно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89 НК РФ, повторная выездная налоговая проверка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305-ЭС24-8942</w:t>
            </w:r>
          </w:p>
        </w:tc>
      </w:tr>
      <w:tr w:rsidR="003106AB" w:rsidRPr="00AD47E1" w:rsidTr="00AD47E1"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32</w:t>
            </w:r>
          </w:p>
        </w:tc>
        <w:tc>
          <w:tcPr>
            <w:tcW w:w="3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Назначение выездной налоговой проверки на основании принципа экстерриториальности правомерно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89 НК РФ, выездная налоговая проверка, экстерриториальность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10/06/24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309-ЭС24-9168</w:t>
            </w:r>
          </w:p>
        </w:tc>
      </w:tr>
    </w:tbl>
    <w:p w:rsidR="00AD47E1" w:rsidRDefault="00AD47E1">
      <w:pPr>
        <w:jc w:val="center"/>
        <w:rPr>
          <w:rFonts w:ascii="Courier New" w:hAnsi="Courier New"/>
          <w:b/>
          <w:sz w:val="20"/>
        </w:rPr>
      </w:pPr>
    </w:p>
    <w:p w:rsidR="00031EF5" w:rsidRDefault="00031EF5">
      <w:pPr>
        <w:jc w:val="center"/>
        <w:rPr>
          <w:rFonts w:ascii="Courier New" w:hAnsi="Courier New"/>
          <w:b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t>НДС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10"/>
        <w:gridCol w:w="3735"/>
        <w:gridCol w:w="1927"/>
        <w:gridCol w:w="1235"/>
        <w:gridCol w:w="1108"/>
        <w:gridCol w:w="1073"/>
        <w:gridCol w:w="1362"/>
      </w:tblGrid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Если права на иностранное программное обеспечение приобретается через подотчётное лицо, у организации возникает обязанность налогового агента по НДС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148 НК РФ, программное обеспечение, подотчётное лицо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01/07/24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03-08-05/61104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Разъяснены вопросы применения ставки 0% в отношении международных перевозок после 01.07.2024 года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164 НК РФ, статья 165 НК РФ, с</w:t>
            </w:r>
            <w:bookmarkStart w:id="0" w:name="_GoBack"/>
            <w:bookmarkEnd w:id="0"/>
            <w:r w:rsidRPr="00AD47E1">
              <w:rPr>
                <w:rFonts w:ascii="Arial CYR" w:hAnsi="Arial CYR"/>
                <w:color w:val="000000" w:themeColor="dark1"/>
                <w:sz w:val="20"/>
              </w:rPr>
              <w:t>тавка 0%, международная перевозка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03-07-08/65835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3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 основании статьи 149 НК РФ инжиниринговые услуги (как и НИОКР) освобождаются от НДС, в частности, в случае их финансирования из бюджета не только у бюджетополучателей, но и у возможных соисполнителей (основание - справка получателя бюджетных средств)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149 НК РФ, НИОКР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06/08/24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03-07-07/73282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оплате иностранному лицу вознаграждения за выполнение функции платёжного агента обязанность налогового агента по НДС не возникает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148 НК РФ, место реализации работ (услуг), платёжный агент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02/08/24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03-07-08/72324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осуществлении операций, не признаваемых объектом обложения НДС, налогоплательщик должен в учётной политике определить порядок ведения раздельного учёта, ибо таковой НК РФ предусмотрен только для необлагаемых операций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170 НК РФ, раздельный учёт, необлагаемые операции, операции, не признаваемые объектом обложения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03-07-11/70404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Правила признания налоговой базы по длящимся договорам подряда и оказания услуг зависят от условий договоров и оформленных документов в рамках исполнения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167 НК РФ, статья 168 НК РФ, момент определения налоговой базы, оформление счёт-фактур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03-03-06/1/67042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Льгота по НДС в отношении отечественного ПО не применима, если последнее используется в целях рекламы или заключения сделок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149 НК РФ, программы для ЭВМ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12/07/24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03-07-07/65097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Разъяснены переходные положения по выбору ставки НДС, подлежащего уплате лицами, применяющими УСН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145 НК РФ, статья 164 НК РФ, плательщик УСН, выбор ставки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26/07/24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03-07-07/69907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Стоимость похищенного у организации имущества определяется исходя из стоимости таковых с НДС, поскольку таковые предназначены для отчуждения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153 НК РФ, статья 154 НК РФ, статья 15 ГК РФ, статья 1064 ГК РФ, </w:t>
            </w:r>
            <w:proofErr w:type="spellStart"/>
            <w:proofErr w:type="gramStart"/>
            <w:r w:rsidRPr="00AD47E1">
              <w:rPr>
                <w:rFonts w:ascii="Arial CYR" w:hAnsi="Arial CYR"/>
                <w:color w:val="000000" w:themeColor="dark1"/>
                <w:sz w:val="20"/>
              </w:rPr>
              <w:t>возме</w:t>
            </w:r>
            <w:r w:rsidR="00031EF5">
              <w:rPr>
                <w:rFonts w:ascii="Arial CYR" w:hAnsi="Arial CYR"/>
                <w:color w:val="000000" w:themeColor="dark1"/>
                <w:sz w:val="20"/>
              </w:rPr>
              <w:t>-</w:t>
            </w:r>
            <w:r w:rsidRPr="00AD47E1">
              <w:rPr>
                <w:rFonts w:ascii="Arial CYR" w:hAnsi="Arial CYR"/>
                <w:color w:val="000000" w:themeColor="dark1"/>
                <w:sz w:val="20"/>
              </w:rPr>
              <w:t>щение</w:t>
            </w:r>
            <w:proofErr w:type="spellEnd"/>
            <w:proofErr w:type="gram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убытков, упущенная выгода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45-УД24-29-7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Утрата подрядчиком давальческих материалов или оборудования с последующим возмещением подрядчиком заказчику причинённого ущерба образует у заказчика объект обложения НДС в отношении утраченных активов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153 НК РФ, статья 154 НК РФ, статья 15 ГК РФ, статья 1064 ГК РФ, </w:t>
            </w:r>
            <w:proofErr w:type="spellStart"/>
            <w:proofErr w:type="gramStart"/>
            <w:r w:rsidRPr="00AD47E1">
              <w:rPr>
                <w:rFonts w:ascii="Arial CYR" w:hAnsi="Arial CYR"/>
                <w:color w:val="000000" w:themeColor="dark1"/>
                <w:sz w:val="20"/>
              </w:rPr>
              <w:t>возме</w:t>
            </w:r>
            <w:r w:rsidR="00031EF5">
              <w:rPr>
                <w:rFonts w:ascii="Arial CYR" w:hAnsi="Arial CYR"/>
                <w:color w:val="000000" w:themeColor="dark1"/>
                <w:sz w:val="20"/>
              </w:rPr>
              <w:t>-</w:t>
            </w:r>
            <w:r w:rsidRPr="00AD47E1">
              <w:rPr>
                <w:rFonts w:ascii="Arial CYR" w:hAnsi="Arial CYR"/>
                <w:color w:val="000000" w:themeColor="dark1"/>
                <w:sz w:val="20"/>
              </w:rPr>
              <w:t>щение</w:t>
            </w:r>
            <w:proofErr w:type="spellEnd"/>
            <w:proofErr w:type="gram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убытков, упущенная выгода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ЗСО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01/07/24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А81-7207/2023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переквалифицировал приобретение металлических изделий в приобретение лома с соответствующим пересчётом налоговых обязательств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161 НК РФ, статья 169 НК РФ, реализация лома и отходов чёрных и цветных металлов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ВВО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06/02/24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Ф01-8859/2024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 w:rsidP="00481096">
            <w:pPr>
              <w:pageBreakBefore/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12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 w:rsidP="00481096">
            <w:pPr>
              <w:pageBreakBefore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Уступка права на выкуп предмета лизинга облагается НДС на основании пункта 5 статьи 155 НК РФ исходя из размера рыночной стоимости такового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146 НК РФ, статья 155 НК РФ, уступка права на заключение договора, договор лизинга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20/06/24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304-ЭС24-9338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Стоимость имущества, изымаемого в государственных интересах, НДС не облагается, поскольку представляет собой способ возмещения ущерба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153 НК РФ, статья 162 НК РФ, возмещение ущерба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305-ЭС24-7728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14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Последующая подача корректировочных таможенных деклараций не меняет срока на возмещение "таможенного" НДС - три года с момента принятия товаров к учёту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корректировочная таможенная декларация, трёхлетний срок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01/04/24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03-07-08/29103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Отражение у продавца и </w:t>
            </w:r>
            <w:proofErr w:type="gramStart"/>
            <w:r w:rsidRPr="00AD47E1">
              <w:rPr>
                <w:rFonts w:ascii="Arial CYR" w:hAnsi="Arial CYR"/>
                <w:color w:val="000000" w:themeColor="dark1"/>
                <w:sz w:val="20"/>
              </w:rPr>
              <w:t>покупателя авансов</w:t>
            </w:r>
            <w:proofErr w:type="gram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и оприходование товаров должно осуществляться в периоде отгрузки, если иной порядок зачёта аванса не предусмотрен договором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171 НК РФ, статья 172 НК РФ, восстановление НДС с авансов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03-07-11/30455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Сумма </w:t>
            </w:r>
            <w:proofErr w:type="gramStart"/>
            <w:r w:rsidRPr="00AD47E1">
              <w:rPr>
                <w:rFonts w:ascii="Arial CYR" w:hAnsi="Arial CYR"/>
                <w:color w:val="000000" w:themeColor="dark1"/>
                <w:sz w:val="20"/>
              </w:rPr>
              <w:t>обязательства</w:t>
            </w:r>
            <w:proofErr w:type="gram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восстановленного НДС относится к тому периоду, в котором должно быть восстановлен НДС, а не к тому, в котором фактически был таковой восстановлен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170 НК РФ, восстановление НДС, период восстановления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305-ЭС23-19921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России разъяснила вопросы начисления НДС в отношении автотранспортных средств, приобретаемых у физических лиц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153 НК РФ, статья 154 НК РФ, автотранспортные средства,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трэйд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ин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ЕА-4-3/6295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Упущенная выгода не облагается НДС, поскольку не связана с операциями по реализации товаров (работ, услуг)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153 НК РФ, статья 154 НК РФ, статья 15 ГК РФ, статья 1064 ГК РФ, возмещение убытков, упущенная выгода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305-ЭС23-27635</w:t>
            </w:r>
          </w:p>
        </w:tc>
      </w:tr>
      <w:tr w:rsidR="003106AB" w:rsidRPr="00AD47E1" w:rsidTr="00AD47E1"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 целях применения налоговой льготы по НДС в отношении передачи прав на базы данных необходимо их чёткое отграничение от передачи файлов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149 НК РФ, программы для ЭВМ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305-ЭС24-7614</w:t>
            </w:r>
          </w:p>
        </w:tc>
      </w:tr>
    </w:tbl>
    <w:p w:rsidR="003106AB" w:rsidRPr="00AD47E1" w:rsidRDefault="003106AB">
      <w:pPr>
        <w:rPr>
          <w:rFonts w:ascii="Courier New" w:hAnsi="Courier New"/>
          <w:sz w:val="20"/>
        </w:rPr>
      </w:pPr>
    </w:p>
    <w:p w:rsidR="00031EF5" w:rsidRDefault="00031EF5">
      <w:pPr>
        <w:jc w:val="center"/>
        <w:rPr>
          <w:rFonts w:ascii="Courier New" w:hAnsi="Courier New"/>
          <w:b/>
          <w:sz w:val="20"/>
        </w:rPr>
      </w:pPr>
    </w:p>
    <w:p w:rsidR="00031EF5" w:rsidRDefault="00031EF5">
      <w:pPr>
        <w:jc w:val="center"/>
        <w:rPr>
          <w:rFonts w:ascii="Courier New" w:hAnsi="Courier New"/>
          <w:b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t>Налог на прибыль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9"/>
        <w:gridCol w:w="3746"/>
        <w:gridCol w:w="1927"/>
        <w:gridCol w:w="1235"/>
        <w:gridCol w:w="1119"/>
        <w:gridCol w:w="1085"/>
        <w:gridCol w:w="1362"/>
      </w:tblGrid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Если права на иностранное ПО приобретается через подотчётное лицо, у организации возникает обязанность налогового агента по налогу на доходы иностранной организации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программное обеспечение, подотчётное лицо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01/07/24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03-08-05/61104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уменьшении уставного капитала организации в силу требований закона увеличение капитала организации не приводит к возникновению налоговой базы по налогу на прибыль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250 НК РФ, статья 251 НК РФ, уменьшение уставного капитала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03-03-06/1/68576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 w:rsidP="00481096">
            <w:pPr>
              <w:pageBreakBefore/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3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Налогоплательщик не смог обосновать повышающий коэффициент начисления амортизации в связи с использованием основного средства в условиях агрессивной среды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256 НК РФ, статья 259.3 НК РФ, повышающий коэффициент амортизации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ЦО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24/07/24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А35-4933/2022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Платежи по расторгнутому лицензионному договору, по которому не все из них признаны в качестве расходов и не будут возвращены лицензиаром, признаются убытками в составе внереализационных расходов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272 НК РФ, статья 265 НК РФ, лицензионные платежи, расторжение договора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09/08/24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03-03-06/1/74800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Если российский заказчик оплачивает международную перевозку, организованную иностранным экспедитором, но осуществлённую российским перевозчиком, то налог на доходы не удерживается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двойное налогообложение, фактический бенефициар, международная перевозка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03-08-05/70734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Перерасчёт налогов за прошлые периоды не является основанием для исправления деклараций по налогу на прибыль за соответствующие периоды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 НК РФ, перерасчёт налогов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03-03-06/1/68684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Правила признания налоговой базы по длящимся договорам подряда и оказания услуг зависят от условий договоров и оформленных документов в рамках исполнения таковых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271 НК РФ, момент определения налоговой базы, оформление первичных документов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03-03-06/1/67042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Учёт расходов на приобретение тары зависит от условий договора (возвратная или невозвратная)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254 НК РФ, тара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03-03-06/1/64298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Стоимость приобретения имущества, оставленного за собой залогодержателем, определяется исходя из сумму обязательства, погашенного вследствие такой передачи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254 НК РФ, статья 257 НК РФ, стоимость имущества, обеспечение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03-03-06/2/61920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Расходы по найму у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самозанятого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могут быть учтены только при наличии чека, полученного от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самозанятого</w:t>
            </w:r>
            <w:proofErr w:type="spellEnd"/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264 НК РФ, налог на профессиональный доход,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самозанятость</w:t>
            </w:r>
            <w:proofErr w:type="spellEnd"/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03-11-11/61917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Поскольку осуществляемые налогоплательщиком капитальные вложения были направлены на создание амортизируемого имущества, то в случае их переквалификации в убытки таковые учитываются в целях налогообложения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252 НК РФ, статья 265 НК РФ, капитальные вложения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28/08/24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305-ЭС24-1023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Минфин России разъяснил вопросы применения соглашений об устранении двойного налогообложения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статья 312 НК РФ, двойное налогообложение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03-08-05/37522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Затраты организации за оформление ЭЦП для сотрудника могут быть включены в состав прочих расходов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264 НК РФ, электронный документооборот, ЭЦП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29/03/24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03-04-06/28364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14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правомерно квалифицировал работы по укреплению и расширению антресолей помещений как реконструкцию, а не капитальный ремонт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257 НК РФ, реконструкция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05/08/24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305-ЭС24-11288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правомерно отнёс распределительные щиты к неотъемлемым элементами трансформаторной подстанции, в силу чего пересчитал срок полезного использования и амортизацию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257 НК РФ, срок полезного использования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04/07/24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309-ЭС24-10201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16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Отчёт о доходах, выплаченных иностранным организациям, сдают все лица, которые выплачивали таковые в отношении работ и услуг, местом реализации которых является Российская Федерация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309 НК РФ, статья 310 НК РФ, налоговый агент, отчёт о суммах выплаченных доходов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03/05/24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ШЮ-4-13/5215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17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Проценты по внутригрупповым займам не могут уменьшать базу по налогу на прибыль, если таковые предоставляются в целях оптимизации налоговой нагрузки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252 НК РФ, статья 265 НК РФ, внутригрупповые займы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13/06/24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305-ЭС24-9250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Если налогоплательщик не доказал производственный характер использования подотчётных сумм, то и комиссия банка за их получение не может быть признана обоснованным расходом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252 НК РФ, экономическая обоснованность, комиссия банка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ПО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30/05/24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А12-4016/2023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19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Корректировка налога на прибыль при корректировке расхода в виде другого начисленного налога осуществляется в периоде представления уточнённой налоговой декларации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54 НК РФ, статья 81 НК РФ, уточнённая налоговая декларация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25/04/24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03-03-06/1/38979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20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Сумма вычета по НДС, непредъявленная к возмещению вопреки требованиям НК РФ, на затраты по налогу на прибыль отнесена быть не может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264 НК РФ, статья 270 НК РФ, непредъявленный НДС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03-03-06/1/37822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21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Суммы в счёт восстановления нарушенного права отражаются в составе внереализационных доходов и расходов на дату вступления соответствующего решения суда в силу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265 НК РФ, штрафы, пени, неустойки, убытки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03-03-06/1/32958</w:t>
            </w:r>
          </w:p>
        </w:tc>
      </w:tr>
      <w:tr w:rsidR="003106AB" w:rsidRPr="00AD47E1" w:rsidTr="00AD47E1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Расходы на освоение новых производств или агрегатов признаются косвенными расходами, если только на основании статей 318 и 319 НК РФ таковые относятся к прямым расходам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318 НК РФ, статья 319 НК РФ, прямые расходы, косвенные расходы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05/04/24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03-03-06/1/31381</w:t>
            </w:r>
          </w:p>
        </w:tc>
      </w:tr>
    </w:tbl>
    <w:p w:rsidR="003106AB" w:rsidRPr="00AD47E1" w:rsidRDefault="003106AB">
      <w:pPr>
        <w:rPr>
          <w:rFonts w:ascii="Courier New" w:hAnsi="Courier New"/>
          <w:sz w:val="20"/>
        </w:rPr>
      </w:pPr>
    </w:p>
    <w:p w:rsidR="003106AB" w:rsidRDefault="003106AB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Pr="00AD47E1" w:rsidRDefault="00031EF5">
      <w:pPr>
        <w:rPr>
          <w:rFonts w:ascii="Courier New" w:hAnsi="Courier New"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lastRenderedPageBreak/>
        <w:t>Страховые взносы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6"/>
        <w:gridCol w:w="3739"/>
        <w:gridCol w:w="1927"/>
        <w:gridCol w:w="1235"/>
        <w:gridCol w:w="1119"/>
        <w:gridCol w:w="1085"/>
        <w:gridCol w:w="1315"/>
      </w:tblGrid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В случае </w:t>
            </w:r>
            <w:proofErr w:type="gramStart"/>
            <w:r w:rsidRPr="00AD47E1">
              <w:rPr>
                <w:rFonts w:ascii="Arial CYR" w:hAnsi="Arial CYR"/>
                <w:color w:val="000000" w:themeColor="dark1"/>
                <w:sz w:val="20"/>
              </w:rPr>
              <w:t>изменения состава</w:t>
            </w:r>
            <w:proofErr w:type="gram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застрахованных по ДМС лиц вследствие увольнения или принятия новых сотрудников, если таковые трудятся менее одного года в течение действия полиса ДМС, возникает база по начислению страховых взносов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добровольное медицинское страхование, ДМС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03/07/24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03-15-05/61936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Выплата физическому лицу вознаграждения по договору поручительства облагается страховыми взносами как выплата по договору возмездного оказания услуг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статья 39 НК РФ, договор возмездного оказания услуг, договор поручительства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22/02/24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03-15-06/15611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невыплате заработной платы ввиду отсутствия объекта обложения страховыми взносами таковые не начисляются и не уплачиваются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420 НК РФ, объект обложения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16/08/24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СД-17-2/2414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Затраты организации за оформление ЭЦП для сотрудника не приводят к возникновению базы по страховым взносам, поскольку не являются элементом оплаты труда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420 НК РФ, статья 422 НК РФ, ЭЦП для сотрудника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29/03/24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03-04-06/28364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Непредставление в установленный срок держателем реестра акционеров сведений, необходимых для оценки статуса СМП, является основанием для утраты права на применение пониженных тарифов страховых взносов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427 НК РФ, пониженные тарифы, реестр СМП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02/08/24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301-ЭС24-13642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установлении размера оплаты труда должны учитываться нормы отраслевого соглашения, за исключением случая, если организация в установленном порядке отказалась от применения последнего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45 ТК РФ, отраслевое соглашение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22/05/23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32-КГПР23-4-К1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правомерно переквалифицировал отношения с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самозанятым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лицом в трудовые отношения,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страховые взносы и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420 НК РФ, статья 422 НК РФ,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самозанятость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, трудовые отношения, </w:t>
            </w:r>
            <w:r w:rsidRPr="00031EF5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13/05/24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310-ЭС24-5221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начислил страховые взносы на денежные средства, полученные руководителем в рамках зарплатного проекта и израсходованные не неустановленные цели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420 НК РФ, статья 422 НК РФ, </w:t>
            </w:r>
            <w:r w:rsidRPr="00031EF5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17/04/24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309-ЭС24-4450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Налоговый орган начислил страховые взносы на денежные средства, полученные организацией в банке по основанию "на выдачу заработной платы"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420 НК РФ, статья 422 НК РФ, </w:t>
            </w:r>
            <w:r w:rsidRPr="00031EF5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13/05/24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303-ЭС24-5635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правомерно переквалифицировал отношения с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самозанятым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лицом в трудовые отношения,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страховые взносы и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</w:t>
            </w:r>
            <w:r w:rsidR="006A1739">
              <w:rPr>
                <w:rFonts w:ascii="Arial CYR" w:hAnsi="Arial CYR"/>
                <w:color w:val="000000" w:themeColor="dark1"/>
                <w:sz w:val="20"/>
              </w:rPr>
              <w:t>тья 420 НК РФ, статья 422 НК</w:t>
            </w: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</w:t>
            </w:r>
            <w:r w:rsidR="00031EF5">
              <w:rPr>
                <w:rFonts w:ascii="Arial CYR" w:hAnsi="Arial CYR"/>
                <w:color w:val="000000" w:themeColor="dark1"/>
                <w:sz w:val="20"/>
              </w:rPr>
              <w:t>-</w:t>
            </w:r>
            <w:r w:rsidRPr="00AD47E1">
              <w:rPr>
                <w:rFonts w:ascii="Arial CYR" w:hAnsi="Arial CYR"/>
                <w:color w:val="000000" w:themeColor="dark1"/>
                <w:sz w:val="20"/>
              </w:rPr>
              <w:t>тость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, трудовые отношения, </w:t>
            </w:r>
            <w:r w:rsidRPr="006A1739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11/04/24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308-ЭС24-729</w:t>
            </w:r>
          </w:p>
        </w:tc>
      </w:tr>
      <w:tr w:rsidR="003106AB" w:rsidRPr="00AD47E1" w:rsidTr="00481096"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11</w:t>
            </w:r>
          </w:p>
        </w:tc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Выплаты в пользу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самозанятого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>, заключившего гражданско-правовой договор со своим работодателем, не могут облагаться налогом на профессиональный доход в силу прямого указания закона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420 НК РФ, статья 422 НК РФ,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самозанятость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, трудовые отношения, </w:t>
            </w:r>
            <w:r w:rsidRPr="006A1739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08/04/24</w:t>
            </w:r>
          </w:p>
        </w:tc>
        <w:tc>
          <w:tcPr>
            <w:tcW w:w="1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307-ЭС24-3165</w:t>
            </w:r>
          </w:p>
        </w:tc>
      </w:tr>
    </w:tbl>
    <w:p w:rsidR="003106AB" w:rsidRPr="00AD47E1" w:rsidRDefault="003106AB">
      <w:pPr>
        <w:rPr>
          <w:rFonts w:ascii="Courier New" w:hAnsi="Courier New"/>
          <w:sz w:val="20"/>
        </w:rPr>
      </w:pPr>
    </w:p>
    <w:p w:rsidR="003106AB" w:rsidRDefault="003106AB">
      <w:pPr>
        <w:rPr>
          <w:rFonts w:ascii="Courier New" w:hAnsi="Courier New"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t>НДФЛ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9"/>
        <w:gridCol w:w="3746"/>
        <w:gridCol w:w="1927"/>
        <w:gridCol w:w="1235"/>
        <w:gridCol w:w="1119"/>
        <w:gridCol w:w="1085"/>
        <w:gridCol w:w="1327"/>
      </w:tblGrid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Передача между близкими родственниками в дар имущества освобождается от уплаты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03-04-05/62539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Передача между близкими родственниками в дар имущества, имеющего предпринимательское назначение, не освобождается от уплаты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217 НК РФ, статья 217.1 НК РФ, недвижимое имущество, близкие родственники, дарение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307-ЭС24-14370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Оплата проезда работникам с вахтовым методом работы от места жительства до места организации или сбора не облагается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217 НК РФ, статья 302 ТК РФ, вахтовый метод работы, проезд к месту вахты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03-04-06/66058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операциях с объектом недвижимости, в результате которых возникают новые объекты недвижимости, срок владения последними для целей имущественного налогового вычета исчисляется с момента государственной регистрации новых объектов недвижимости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220 НК РФ, имущественный налоговый вычет, минимальный срок владения объектом недвижимости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03-04-05/63022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выплате дохода гражданину из стран ЕАЭС удержание НДФЛ производится по ставке 13%, но по итогам года исходя из налогового статуса возможен пересчёт исчисленного налога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207 НК РФ, статья 208 НК РФ, статья 224 НК РФ, налоговый нерезидент, ставка 30%, ставка 13% 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03-04-06/62411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погашении работодателем за работника задолженности по потребительскому кредиту у работника возникает доход в натуральной форме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211 НК РФ, доход в натуральной форме, оплата кредита за работника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03-04-05/61879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При оценке правомерности применения имущественного вычета при продаже жилых объектов необходимо учитывать их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вовлечённость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в предпринимательскую деятельность физического лица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220 НК РФ, продажа жилых помещений, имущественный налоговый вычет, предпринимательская деятельность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305-ЭС24-13140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lastRenderedPageBreak/>
              <w:t>8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Доходы дистанционных работников в виде заработной платы, получаемые от российских организаций, признаются доходами от источников в Российской Федерации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208 НК РФ, статья 209 НК РФ, дистанционные работники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01/08/24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03-04-06/71651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210 НК РФ, подотчётные суммы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08/08/24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309-ЭС24-11838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Затраты организации за оформление ЭЦП для сотрудника не приводят к возникновению базы по страховым взносам, поскольку не являются элементом оплаты труда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210 НК РФ, ЭЦП для сотрудника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29/03/24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03-04-06/28364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11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210 НК РФ, подотчётные суммы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06/08/24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307-ЭС24-14160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12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210 НК РФ, подотчётные суммы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06/05/24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305-ЭС24-5022</w:t>
            </w:r>
          </w:p>
        </w:tc>
      </w:tr>
      <w:tr w:rsidR="003106AB" w:rsidRPr="00AD47E1" w:rsidTr="00CE53D0"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</w:t>
            </w:r>
          </w:p>
        </w:tc>
        <w:tc>
          <w:tcPr>
            <w:tcW w:w="3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правомерно переквалифицировал отношения с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самозанятым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лицом в трудовые отношения,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доначислив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страховые взносы и НДФЛ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Статья 208 НК РФ, статья 226 НК РФ,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самозанятость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, трудовые отношения, </w:t>
            </w:r>
            <w:r w:rsidRPr="00CE53D0">
              <w:rPr>
                <w:rFonts w:ascii="Arial CYR" w:hAnsi="Arial CYR"/>
                <w:color w:val="000000" w:themeColor="dark1"/>
                <w:spacing w:val="-6"/>
                <w:sz w:val="20"/>
              </w:rPr>
              <w:t>переквалификация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13/05/24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310-ЭС24-5221</w:t>
            </w:r>
          </w:p>
        </w:tc>
      </w:tr>
    </w:tbl>
    <w:p w:rsidR="003106AB" w:rsidRPr="00AD47E1" w:rsidRDefault="003106AB">
      <w:pPr>
        <w:rPr>
          <w:rFonts w:ascii="Courier New" w:hAnsi="Courier New"/>
          <w:sz w:val="20"/>
        </w:rPr>
      </w:pPr>
    </w:p>
    <w:p w:rsidR="003106AB" w:rsidRPr="00AD47E1" w:rsidRDefault="003106AB">
      <w:pPr>
        <w:rPr>
          <w:rFonts w:ascii="Courier New" w:hAnsi="Courier New"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t>Транспортный налог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2"/>
        <w:gridCol w:w="3743"/>
        <w:gridCol w:w="1927"/>
        <w:gridCol w:w="1235"/>
        <w:gridCol w:w="1119"/>
        <w:gridCol w:w="1096"/>
        <w:gridCol w:w="1327"/>
      </w:tblGrid>
      <w:tr w:rsidR="003106AB" w:rsidRPr="00AD47E1" w:rsidTr="00CE53D0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снятии транспортного средства с учёта в целях продажи, если таковая не состоялась, а регистрация в дальнейшем - восстановлена, транспортный налог подлежит уплате за весь период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357 НК РФ, статья 362 НК РФ, регистрация транспортного средства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10/09/24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304-ЭС24-15811</w:t>
            </w:r>
          </w:p>
        </w:tc>
      </w:tr>
      <w:tr w:rsidR="003106AB" w:rsidRPr="00AD47E1" w:rsidTr="00CE53D0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Разъяснены вопросы исчисления транспортного налога в отношении автомобиля, имеющего несколько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несколько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двигателей: расчёт производится исключительно по данным регистрирующего органа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359 НК РФ, налоговая база, мощность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29/07/24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03-05-06-04/70524</w:t>
            </w:r>
          </w:p>
        </w:tc>
      </w:tr>
      <w:tr w:rsidR="003106AB" w:rsidRPr="00AD47E1" w:rsidTr="00CE53D0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изменении субъекта Российской Федерации, в котором зарегистрирован транспорт, транспортный налог исчисляется соответственно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357 НК РФ, статья 362 НК РФ, регистрация транспортного средства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27/06/24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03-05-06-04/60253</w:t>
            </w:r>
          </w:p>
        </w:tc>
      </w:tr>
      <w:tr w:rsidR="003106AB" w:rsidRPr="00AD47E1" w:rsidTr="00CE53D0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Невозможность использования транспортного средства вследствие его ненадлежащего технического состояния не избавляет от обязанности по уплате транспортного налога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358 НК РФ, статья 362 НК РФ, неиспользование транспортного средства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06/05/24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308-ЭС24-4833</w:t>
            </w:r>
          </w:p>
        </w:tc>
      </w:tr>
      <w:tr w:rsidR="003106AB" w:rsidRPr="00AD47E1" w:rsidTr="00CE53D0"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Если налогоплательщик обладает автомобилем более дорогой комплектации по отношению к той, в отношении которой установлен повышающий коэффициент, но который отсутствует в Перечне, то транспортный налог всё равно подлежит уплате с учётом повышающего коэффициента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362 НК РФ, повышающий коэффициент</w:t>
            </w:r>
          </w:p>
        </w:tc>
        <w:tc>
          <w:tcPr>
            <w:tcW w:w="1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06/05/24</w:t>
            </w:r>
          </w:p>
        </w:tc>
        <w:tc>
          <w:tcPr>
            <w:tcW w:w="1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306-ЭС24-4831</w:t>
            </w:r>
          </w:p>
        </w:tc>
      </w:tr>
    </w:tbl>
    <w:p w:rsidR="003106AB" w:rsidRPr="00AD47E1" w:rsidRDefault="003106AB">
      <w:pPr>
        <w:rPr>
          <w:rFonts w:ascii="Courier New" w:hAnsi="Courier New"/>
          <w:sz w:val="20"/>
        </w:rPr>
      </w:pPr>
    </w:p>
    <w:p w:rsidR="00031EF5" w:rsidRDefault="00031EF5">
      <w:pPr>
        <w:jc w:val="center"/>
        <w:rPr>
          <w:rFonts w:ascii="Courier New" w:hAnsi="Courier New"/>
          <w:b/>
          <w:sz w:val="20"/>
        </w:rPr>
      </w:pPr>
    </w:p>
    <w:p w:rsidR="00031EF5" w:rsidRDefault="00031EF5">
      <w:pPr>
        <w:jc w:val="center"/>
        <w:rPr>
          <w:rFonts w:ascii="Courier New" w:hAnsi="Courier New"/>
          <w:b/>
          <w:sz w:val="20"/>
        </w:rPr>
      </w:pPr>
    </w:p>
    <w:p w:rsidR="003106AB" w:rsidRPr="00AD47E1" w:rsidRDefault="00481096">
      <w:pPr>
        <w:jc w:val="center"/>
        <w:rPr>
          <w:rFonts w:ascii="Courier New" w:hAnsi="Courier New"/>
          <w:b/>
          <w:sz w:val="20"/>
        </w:rPr>
      </w:pPr>
      <w:r w:rsidRPr="00AD47E1">
        <w:rPr>
          <w:rFonts w:ascii="Courier New" w:hAnsi="Courier New"/>
          <w:b/>
          <w:sz w:val="20"/>
        </w:rPr>
        <w:lastRenderedPageBreak/>
        <w:t>Имущественные налоги</w:t>
      </w:r>
    </w:p>
    <w:p w:rsidR="003106AB" w:rsidRPr="00AD47E1" w:rsidRDefault="003106AB">
      <w:pPr>
        <w:rPr>
          <w:rFonts w:ascii="Courier New" w:hAnsi="Courier New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1"/>
        <w:gridCol w:w="3764"/>
        <w:gridCol w:w="1938"/>
        <w:gridCol w:w="1223"/>
        <w:gridCol w:w="1119"/>
        <w:gridCol w:w="1096"/>
        <w:gridCol w:w="1339"/>
      </w:tblGrid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Карьер может рассматриваться в качестве антропогенного объекта недвижимости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375 НК РФ, недвижимость, карьер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02/07/18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309-КГ18-8271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Изменение характеристик объекта недвижимости (в том числе - земельного участка) необходимо анализировать в контексте законодательства о регистрации недвижимости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375 НК РФ, статья 391 НК РФ, кадастровая стоимость, изменение характеристик объекта недвижимости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10/07/24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03-05-05-01/64314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Не исключается обязанность собственника помещений в МКД по уплате налога на имущество в отношении общего имущества сособственников МКД, если таковое может передаваться третьим лицам без нарушения прав сособственников МКД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375 НК РФ, общее имущество МКД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МФ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09/07/24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03-05-04-01/63980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4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Применение повышающих коэффициентов при расчёте земельного налога по землям ИЖС для хозяйствующих субъектов обоснованно, поскольку прямо предусмотрено НК РФ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396 НК РФ, налоговая ставка, земли ИЖС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29/07/24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БС-4-21/8577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5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Применение повышающих коэффициентов при расчёте земельного налога по землям ИЖС для хозяйствующих субъектов необоснованно, поскольку фактически становится санкцией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396 НК РФ, налоговая ставка, земли ИЖС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ФАС МО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04/06/24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А23-763/2023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6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Необоснованность разделения в учёте объектов недвижимости посредством выделения из них отдельных узлов или частей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18/06/24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БС-4-21/6770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7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Со вспомогательных помещений в составе многоквартирного дома подлежит уплате налог на имущество организаций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374 НК РФ, объект обложения, вспомогательные помещения, многоквартирный дом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10/06/24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БС-4-21/6409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8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Применение пониженной ставки земельного налога в отношении земель ИЖС, принадлежащих коммерческой организации, неправомерно, поскольку таковая не может использовать земельный участок в соответствии с таким целевым назначением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394 НК РФ, налоговая ставка, земли ИЖС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ФНС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05/06/24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БС-4-21/6282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9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При передаче участков для ИЖС в паевой инвестиционный фонд применение пониженной ставки земельного налога неправомерно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396 НК РФ, ставка налога, земли ИЖС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23/05/24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104-ПЭК24</w:t>
            </w:r>
          </w:p>
        </w:tc>
      </w:tr>
      <w:tr w:rsidR="003106AB" w:rsidRPr="00AD47E1" w:rsidTr="00C67E01">
        <w:tc>
          <w:tcPr>
            <w:tcW w:w="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10</w:t>
            </w:r>
          </w:p>
        </w:tc>
        <w:tc>
          <w:tcPr>
            <w:tcW w:w="3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Налоговый орган неправомерно переквалифицировал объекты движимого имущества в неотъемлемые части недвижимого имущества, вследствие чего незаконно </w:t>
            </w:r>
            <w:proofErr w:type="spellStart"/>
            <w:r w:rsidRPr="00AD47E1">
              <w:rPr>
                <w:rFonts w:ascii="Arial CYR" w:hAnsi="Arial CYR"/>
                <w:color w:val="000000" w:themeColor="dark1"/>
                <w:sz w:val="20"/>
              </w:rPr>
              <w:t>доначислил</w:t>
            </w:r>
            <w:proofErr w:type="spellEnd"/>
            <w:r w:rsidRPr="00AD47E1">
              <w:rPr>
                <w:rFonts w:ascii="Arial CYR" w:hAnsi="Arial CYR"/>
                <w:color w:val="000000" w:themeColor="dark1"/>
                <w:sz w:val="20"/>
              </w:rPr>
              <w:t xml:space="preserve"> налог на имущество организаций</w:t>
            </w:r>
          </w:p>
        </w:tc>
        <w:tc>
          <w:tcPr>
            <w:tcW w:w="1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left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ВС РФ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15/05/24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06AB" w:rsidRPr="00AD47E1" w:rsidRDefault="00481096">
            <w:pPr>
              <w:jc w:val="center"/>
              <w:rPr>
                <w:rFonts w:ascii="Arial CYR" w:hAnsi="Arial CYR"/>
                <w:color w:val="000000" w:themeColor="dark1"/>
                <w:sz w:val="20"/>
              </w:rPr>
            </w:pPr>
            <w:r w:rsidRPr="00AD47E1">
              <w:rPr>
                <w:rFonts w:ascii="Arial CYR" w:hAnsi="Arial CYR"/>
                <w:color w:val="000000" w:themeColor="dark1"/>
                <w:sz w:val="20"/>
              </w:rPr>
              <w:t>305-ЭС24-7176</w:t>
            </w:r>
          </w:p>
        </w:tc>
      </w:tr>
    </w:tbl>
    <w:p w:rsidR="003106AB" w:rsidRDefault="003106AB">
      <w:pPr>
        <w:rPr>
          <w:rFonts w:ascii="Courier New" w:hAnsi="Courier New"/>
          <w:sz w:val="20"/>
        </w:rPr>
      </w:pPr>
    </w:p>
    <w:p w:rsidR="00031EF5" w:rsidRDefault="00031EF5">
      <w:pPr>
        <w:rPr>
          <w:rFonts w:ascii="Courier New" w:hAnsi="Courier New"/>
          <w:sz w:val="20"/>
        </w:rPr>
      </w:pPr>
    </w:p>
    <w:p w:rsidR="00031EF5" w:rsidRPr="00B11D64" w:rsidRDefault="00031EF5" w:rsidP="00031EF5">
      <w:pPr>
        <w:jc w:val="center"/>
        <w:rPr>
          <w:rFonts w:ascii="Courier New" w:hAnsi="Courier New"/>
          <w:b/>
          <w:sz w:val="22"/>
        </w:rPr>
      </w:pPr>
      <w:r>
        <w:rPr>
          <w:rFonts w:ascii="Courier New" w:hAnsi="Courier New"/>
          <w:b/>
          <w:sz w:val="22"/>
        </w:rPr>
        <w:t xml:space="preserve">Подписывайтесь на </w:t>
      </w:r>
      <w:proofErr w:type="spellStart"/>
      <w:r>
        <w:rPr>
          <w:rFonts w:ascii="Courier New" w:hAnsi="Courier New"/>
          <w:b/>
          <w:sz w:val="22"/>
        </w:rPr>
        <w:t>т</w:t>
      </w:r>
      <w:r w:rsidRPr="00B11D64">
        <w:rPr>
          <w:rFonts w:ascii="Courier New" w:hAnsi="Courier New"/>
          <w:b/>
          <w:sz w:val="22"/>
        </w:rPr>
        <w:t>елеграм</w:t>
      </w:r>
      <w:proofErr w:type="spellEnd"/>
      <w:r w:rsidRPr="00B11D64">
        <w:rPr>
          <w:rFonts w:ascii="Courier New" w:hAnsi="Courier New"/>
          <w:b/>
          <w:sz w:val="22"/>
        </w:rPr>
        <w:t>-каналы «Центра финансовых экспертиз»</w:t>
      </w:r>
    </w:p>
    <w:p w:rsidR="00031EF5" w:rsidRDefault="00031EF5" w:rsidP="00031EF5">
      <w:pPr>
        <w:rPr>
          <w:rFonts w:ascii="Courier New" w:hAnsi="Courier New"/>
          <w:sz w:val="22"/>
        </w:rPr>
      </w:pPr>
    </w:p>
    <w:p w:rsidR="00031EF5" w:rsidRDefault="00031EF5" w:rsidP="00031EF5">
      <w:pPr>
        <w:jc w:val="center"/>
        <w:rPr>
          <w:rFonts w:ascii="Courier New" w:hAnsi="Courier New"/>
          <w:noProof/>
          <w:sz w:val="20"/>
        </w:rPr>
      </w:pPr>
      <w:r>
        <w:rPr>
          <w:rFonts w:ascii="Courier New" w:hAnsi="Courier New"/>
          <w:noProof/>
          <w:sz w:val="20"/>
        </w:rPr>
        <w:drawing>
          <wp:inline distT="0" distB="0" distL="0" distR="0" wp14:anchorId="7D145683" wp14:editId="1047EA96">
            <wp:extent cx="2089150" cy="2507334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4002" cy="25131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</w:p>
    <w:p w:rsidR="00031EF5" w:rsidRP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  <w:r w:rsidRPr="00031EF5">
        <w:rPr>
          <w:rFonts w:ascii="Courier New" w:hAnsi="Courier New"/>
          <w:b/>
          <w:noProof/>
          <w:sz w:val="20"/>
        </w:rPr>
        <w:t>«Бухгалтер и Бизнес»</w:t>
      </w:r>
    </w:p>
    <w:p w:rsidR="00031EF5" w:rsidRDefault="00031EF5" w:rsidP="00031EF5">
      <w:pPr>
        <w:rPr>
          <w:rFonts w:ascii="Courier New" w:hAnsi="Courier New"/>
          <w:noProof/>
          <w:sz w:val="20"/>
        </w:rPr>
      </w:pPr>
    </w:p>
    <w:p w:rsidR="00031EF5" w:rsidRDefault="00031EF5" w:rsidP="00031EF5">
      <w:pPr>
        <w:ind w:left="1134"/>
        <w:jc w:val="center"/>
        <w:rPr>
          <w:rFonts w:ascii="Courier New" w:hAnsi="Courier New"/>
          <w:noProof/>
          <w:sz w:val="20"/>
        </w:rPr>
      </w:pPr>
    </w:p>
    <w:p w:rsidR="00031EF5" w:rsidRDefault="00031EF5" w:rsidP="00031EF5">
      <w:pPr>
        <w:jc w:val="left"/>
        <w:rPr>
          <w:rFonts w:ascii="Courier New" w:hAnsi="Courier New"/>
          <w:noProof/>
          <w:sz w:val="20"/>
        </w:rPr>
      </w:pPr>
    </w:p>
    <w:p w:rsidR="00031EF5" w:rsidRDefault="00031EF5" w:rsidP="00031EF5">
      <w:pPr>
        <w:jc w:val="center"/>
        <w:rPr>
          <w:rFonts w:ascii="Courier New" w:hAnsi="Courier New"/>
          <w:noProof/>
          <w:sz w:val="20"/>
        </w:rPr>
      </w:pPr>
      <w:r w:rsidRPr="00031EF5">
        <w:rPr>
          <w:rFonts w:ascii="Courier New" w:hAnsi="Courier New"/>
          <w:noProof/>
          <w:sz w:val="20"/>
        </w:rPr>
        <w:drawing>
          <wp:inline distT="0" distB="0" distL="0" distR="0">
            <wp:extent cx="2039144" cy="2330450"/>
            <wp:effectExtent l="0" t="0" r="0" b="0"/>
            <wp:docPr id="3" name="Рисунок 3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665" cy="234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</w:p>
    <w:p w:rsidR="00031EF5" w:rsidRP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  <w:r w:rsidRPr="00031EF5">
        <w:rPr>
          <w:rFonts w:ascii="Courier New" w:hAnsi="Courier New"/>
          <w:b/>
          <w:noProof/>
          <w:sz w:val="20"/>
        </w:rPr>
        <w:t>«Б</w:t>
      </w:r>
      <w:r>
        <w:rPr>
          <w:rFonts w:ascii="Courier New" w:hAnsi="Courier New"/>
          <w:b/>
          <w:noProof/>
          <w:sz w:val="20"/>
        </w:rPr>
        <w:t>юджетный учет</w:t>
      </w:r>
      <w:r w:rsidRPr="00031EF5">
        <w:rPr>
          <w:rFonts w:ascii="Courier New" w:hAnsi="Courier New"/>
          <w:b/>
          <w:noProof/>
          <w:sz w:val="20"/>
        </w:rPr>
        <w:t>»</w:t>
      </w:r>
    </w:p>
    <w:p w:rsidR="00031EF5" w:rsidRDefault="00031EF5" w:rsidP="00031EF5">
      <w:pPr>
        <w:jc w:val="left"/>
        <w:rPr>
          <w:rFonts w:ascii="Courier New" w:hAnsi="Courier New"/>
          <w:noProof/>
          <w:sz w:val="20"/>
        </w:rPr>
      </w:pPr>
    </w:p>
    <w:p w:rsidR="00031EF5" w:rsidRDefault="00031EF5" w:rsidP="00031EF5">
      <w:pPr>
        <w:ind w:left="1134"/>
        <w:jc w:val="left"/>
        <w:rPr>
          <w:rFonts w:ascii="Courier New" w:hAnsi="Courier New"/>
          <w:noProof/>
          <w:sz w:val="20"/>
        </w:rPr>
      </w:pPr>
    </w:p>
    <w:p w:rsidR="00031EF5" w:rsidRPr="00093E7E" w:rsidRDefault="00031EF5" w:rsidP="00031EF5">
      <w:pPr>
        <w:ind w:left="1134"/>
        <w:jc w:val="left"/>
        <w:rPr>
          <w:rFonts w:ascii="Courier New" w:hAnsi="Courier New"/>
          <w:noProof/>
          <w:sz w:val="20"/>
        </w:rPr>
      </w:pPr>
      <w:r>
        <w:rPr>
          <w:rFonts w:ascii="Courier New" w:hAnsi="Courier New"/>
          <w:noProof/>
          <w:sz w:val="20"/>
        </w:rPr>
        <w:t xml:space="preserve">                </w:t>
      </w:r>
    </w:p>
    <w:p w:rsidR="00031EF5" w:rsidRDefault="00031EF5" w:rsidP="00031EF5">
      <w:pPr>
        <w:jc w:val="center"/>
        <w:rPr>
          <w:rFonts w:ascii="Courier New" w:hAnsi="Courier New"/>
          <w:sz w:val="20"/>
        </w:rPr>
      </w:pPr>
      <w:r w:rsidRPr="0054707D">
        <w:rPr>
          <w:rFonts w:ascii="Courier New" w:hAnsi="Courier New"/>
          <w:noProof/>
          <w:sz w:val="20"/>
        </w:rPr>
        <w:drawing>
          <wp:inline distT="0" distB="0" distL="0" distR="0" wp14:anchorId="0274CAC0" wp14:editId="5592C9FE">
            <wp:extent cx="1961579" cy="2348865"/>
            <wp:effectExtent l="0" t="0" r="635" b="0"/>
            <wp:docPr id="2" name="Рисунок 2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699" cy="236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</w:p>
    <w:p w:rsid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  <w:r w:rsidRPr="00031EF5">
        <w:rPr>
          <w:rFonts w:ascii="Courier New" w:hAnsi="Courier New"/>
          <w:b/>
          <w:noProof/>
          <w:sz w:val="20"/>
        </w:rPr>
        <w:t>«</w:t>
      </w:r>
      <w:r>
        <w:rPr>
          <w:rFonts w:ascii="Courier New" w:hAnsi="Courier New"/>
          <w:b/>
          <w:noProof/>
          <w:sz w:val="20"/>
        </w:rPr>
        <w:t>Горячая линия бухгалтера</w:t>
      </w:r>
      <w:r w:rsidRPr="00031EF5">
        <w:rPr>
          <w:rFonts w:ascii="Courier New" w:hAnsi="Courier New"/>
          <w:b/>
          <w:noProof/>
          <w:sz w:val="20"/>
        </w:rPr>
        <w:t>»</w:t>
      </w:r>
    </w:p>
    <w:p w:rsidR="00031EF5" w:rsidRPr="00031EF5" w:rsidRDefault="00031EF5" w:rsidP="00031EF5">
      <w:pPr>
        <w:jc w:val="center"/>
        <w:rPr>
          <w:rFonts w:ascii="Courier New" w:hAnsi="Courier New"/>
          <w:b/>
          <w:noProof/>
          <w:sz w:val="20"/>
        </w:rPr>
      </w:pPr>
      <w:r>
        <w:rPr>
          <w:rFonts w:ascii="Courier New" w:hAnsi="Courier New"/>
          <w:b/>
          <w:noProof/>
          <w:sz w:val="20"/>
        </w:rPr>
        <w:t>(оперативные ответы на вопросы)</w:t>
      </w:r>
    </w:p>
    <w:sectPr w:rsidR="00031EF5" w:rsidRPr="00031EF5" w:rsidSect="00031EF5">
      <w:footerReference w:type="default" r:id="rId9"/>
      <w:pgSz w:w="11908" w:h="16848"/>
      <w:pgMar w:top="709" w:right="851" w:bottom="993" w:left="426" w:header="850" w:footer="46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9B6" w:rsidRDefault="00B849B6" w:rsidP="00AD47E1">
      <w:r>
        <w:separator/>
      </w:r>
    </w:p>
  </w:endnote>
  <w:endnote w:type="continuationSeparator" w:id="0">
    <w:p w:rsidR="00B849B6" w:rsidRDefault="00B849B6" w:rsidP="00AD4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</w:rPr>
      <w:id w:val="1492067224"/>
      <w:docPartObj>
        <w:docPartGallery w:val="Page Numbers (Bottom of Page)"/>
        <w:docPartUnique/>
      </w:docPartObj>
    </w:sdtPr>
    <w:sdtContent>
      <w:p w:rsidR="00481096" w:rsidRPr="00AD47E1" w:rsidRDefault="00481096" w:rsidP="00AD47E1">
        <w:pPr>
          <w:pStyle w:val="aa"/>
          <w:jc w:val="center"/>
          <w:rPr>
            <w:sz w:val="20"/>
          </w:rPr>
        </w:pPr>
        <w:r w:rsidRPr="00AD47E1">
          <w:rPr>
            <w:sz w:val="20"/>
          </w:rPr>
          <w:fldChar w:fldCharType="begin"/>
        </w:r>
        <w:r w:rsidRPr="00AD47E1">
          <w:rPr>
            <w:sz w:val="20"/>
          </w:rPr>
          <w:instrText>PAGE   \* MERGEFORMAT</w:instrText>
        </w:r>
        <w:r w:rsidRPr="00AD47E1">
          <w:rPr>
            <w:sz w:val="20"/>
          </w:rPr>
          <w:fldChar w:fldCharType="separate"/>
        </w:r>
        <w:r w:rsidR="004315D1">
          <w:rPr>
            <w:noProof/>
            <w:sz w:val="20"/>
          </w:rPr>
          <w:t>12</w:t>
        </w:r>
        <w:r w:rsidRPr="00AD47E1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9B6" w:rsidRDefault="00B849B6" w:rsidP="00AD47E1">
      <w:r>
        <w:separator/>
      </w:r>
    </w:p>
  </w:footnote>
  <w:footnote w:type="continuationSeparator" w:id="0">
    <w:p w:rsidR="00B849B6" w:rsidRDefault="00B849B6" w:rsidP="00AD47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6AB"/>
    <w:rsid w:val="00031EF5"/>
    <w:rsid w:val="003106AB"/>
    <w:rsid w:val="004315D1"/>
    <w:rsid w:val="00481096"/>
    <w:rsid w:val="006A1739"/>
    <w:rsid w:val="00AD47E1"/>
    <w:rsid w:val="00B849B6"/>
    <w:rsid w:val="00C53746"/>
    <w:rsid w:val="00C67E01"/>
    <w:rsid w:val="00CE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725287-B7A4-40F6-8222-74CF5471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8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</w:style>
  <w:style w:type="character" w:customStyle="1" w:styleId="22">
    <w:name w:val="Оглавление 2 Знак"/>
    <w:basedOn w:val="1"/>
    <w:link w:val="21"/>
    <w:rPr>
      <w:rFonts w:ascii="XO Thames" w:hAnsi="XO Thames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</w:style>
  <w:style w:type="character" w:customStyle="1" w:styleId="42">
    <w:name w:val="Оглавление 4 Знак"/>
    <w:basedOn w:val="1"/>
    <w:link w:val="41"/>
    <w:rPr>
      <w:rFonts w:ascii="XO Thames" w:hAnsi="XO Thames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</w:style>
  <w:style w:type="character" w:customStyle="1" w:styleId="60">
    <w:name w:val="Оглавление 6 Знак"/>
    <w:basedOn w:val="1"/>
    <w:link w:val="6"/>
    <w:rPr>
      <w:rFonts w:ascii="XO Thames" w:hAnsi="XO Thames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</w:style>
  <w:style w:type="character" w:customStyle="1" w:styleId="70">
    <w:name w:val="Оглавление 7 Знак"/>
    <w:basedOn w:val="1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</w:style>
  <w:style w:type="character" w:customStyle="1" w:styleId="32">
    <w:name w:val="Оглавление 3 Знак"/>
    <w:basedOn w:val="1"/>
    <w:link w:val="31"/>
    <w:rPr>
      <w:rFonts w:ascii="XO Thames" w:hAnsi="XO Thames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b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</w:style>
  <w:style w:type="character" w:customStyle="1" w:styleId="90">
    <w:name w:val="Оглавление 9 Знак"/>
    <w:basedOn w:val="1"/>
    <w:link w:val="9"/>
    <w:rPr>
      <w:rFonts w:ascii="XO Thames" w:hAnsi="XO Thames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</w:style>
  <w:style w:type="character" w:customStyle="1" w:styleId="80">
    <w:name w:val="Оглавление 8 Знак"/>
    <w:basedOn w:val="1"/>
    <w:link w:val="8"/>
    <w:rPr>
      <w:rFonts w:ascii="XO Thames" w:hAnsi="XO Thames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</w:style>
  <w:style w:type="character" w:customStyle="1" w:styleId="52">
    <w:name w:val="Оглавление 5 Знак"/>
    <w:basedOn w:val="1"/>
    <w:link w:val="51"/>
    <w:rPr>
      <w:rFonts w:ascii="XO Thames" w:hAnsi="XO Thames"/>
      <w:sz w:val="28"/>
    </w:rPr>
  </w:style>
  <w:style w:type="paragraph" w:styleId="a4">
    <w:name w:val="Subtitle"/>
    <w:basedOn w:val="a"/>
    <w:next w:val="a"/>
    <w:link w:val="a5"/>
    <w:uiPriority w:val="11"/>
    <w:qFormat/>
    <w:rPr>
      <w:i/>
      <w:sz w:val="24"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sz w:val="28"/>
    </w:rPr>
  </w:style>
  <w:style w:type="paragraph" w:styleId="a8">
    <w:name w:val="header"/>
    <w:basedOn w:val="a"/>
    <w:link w:val="a9"/>
    <w:uiPriority w:val="99"/>
    <w:unhideWhenUsed/>
    <w:rsid w:val="00AD47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D47E1"/>
    <w:rPr>
      <w:sz w:val="28"/>
    </w:rPr>
  </w:style>
  <w:style w:type="paragraph" w:styleId="aa">
    <w:name w:val="footer"/>
    <w:basedOn w:val="a"/>
    <w:link w:val="ab"/>
    <w:uiPriority w:val="99"/>
    <w:unhideWhenUsed/>
    <w:rsid w:val="00AD47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D47E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4314</Words>
  <Characters>24595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6</cp:revision>
  <dcterms:created xsi:type="dcterms:W3CDTF">2024-09-23T06:57:00Z</dcterms:created>
  <dcterms:modified xsi:type="dcterms:W3CDTF">2024-09-23T08:33:00Z</dcterms:modified>
</cp:coreProperties>
</file>