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FAD9A8" w14:textId="398F5F28" w:rsidR="00D43663" w:rsidRPr="009669A4" w:rsidRDefault="00D43663" w:rsidP="009669A4">
      <w:pPr>
        <w:pStyle w:val="a4"/>
        <w:spacing w:after="0" w:line="288" w:lineRule="atLeast"/>
        <w:ind w:firstLine="540"/>
        <w:jc w:val="center"/>
        <w:rPr>
          <w:rFonts w:eastAsia="Times New Roman"/>
          <w:b/>
          <w:bCs/>
          <w:sz w:val="32"/>
          <w:szCs w:val="32"/>
          <w:lang w:eastAsia="ru-RU"/>
        </w:rPr>
      </w:pPr>
      <w:r w:rsidRPr="009669A4">
        <w:rPr>
          <w:rFonts w:eastAsia="Times New Roman"/>
          <w:b/>
          <w:bCs/>
          <w:sz w:val="32"/>
          <w:szCs w:val="32"/>
          <w:lang w:eastAsia="ru-RU"/>
        </w:rPr>
        <w:t xml:space="preserve">Письмо ФНС России от </w:t>
      </w:r>
      <w:bookmarkStart w:id="0" w:name="_GoBack"/>
      <w:r w:rsidRPr="009669A4">
        <w:rPr>
          <w:rFonts w:eastAsia="Times New Roman"/>
          <w:b/>
          <w:bCs/>
          <w:sz w:val="32"/>
          <w:szCs w:val="32"/>
          <w:lang w:eastAsia="ru-RU"/>
        </w:rPr>
        <w:t>28.12.2024 № БВ-4-7/14776</w:t>
      </w:r>
    </w:p>
    <w:p w14:paraId="5E39E591" w14:textId="637CE59C" w:rsidR="00D43663" w:rsidRPr="009669A4" w:rsidRDefault="00D43663" w:rsidP="009669A4">
      <w:pPr>
        <w:pStyle w:val="a4"/>
        <w:spacing w:after="0" w:line="288" w:lineRule="atLeast"/>
        <w:jc w:val="center"/>
        <w:rPr>
          <w:rFonts w:eastAsia="Times New Roman"/>
          <w:b/>
          <w:bCs/>
          <w:sz w:val="32"/>
          <w:szCs w:val="32"/>
          <w:lang w:eastAsia="ru-RU"/>
        </w:rPr>
      </w:pPr>
      <w:r w:rsidRPr="009669A4">
        <w:rPr>
          <w:rFonts w:eastAsia="Times New Roman"/>
          <w:b/>
          <w:bCs/>
          <w:sz w:val="32"/>
          <w:szCs w:val="32"/>
          <w:lang w:eastAsia="ru-RU"/>
        </w:rPr>
        <w:t>"О правовых последствиях непредставления (несвоевременного представления) уведомления об исчисленных суммах"</w:t>
      </w:r>
    </w:p>
    <w:bookmarkEnd w:id="0"/>
    <w:p w14:paraId="5A3A7764" w14:textId="77777777" w:rsidR="009669A4" w:rsidRDefault="009669A4" w:rsidP="00D43663">
      <w:pPr>
        <w:pStyle w:val="a4"/>
        <w:spacing w:after="0" w:line="288" w:lineRule="atLeast"/>
        <w:ind w:firstLine="540"/>
        <w:jc w:val="both"/>
        <w:rPr>
          <w:rFonts w:eastAsia="Times New Roman"/>
          <w:i/>
          <w:sz w:val="22"/>
          <w:szCs w:val="22"/>
          <w:lang w:eastAsia="ru-RU"/>
        </w:rPr>
      </w:pPr>
    </w:p>
    <w:p w14:paraId="6D2ACF59" w14:textId="35996EBF" w:rsidR="00D43663" w:rsidRPr="00D43663" w:rsidRDefault="00D43663" w:rsidP="00D43663">
      <w:pPr>
        <w:pStyle w:val="a4"/>
        <w:spacing w:after="0" w:line="288" w:lineRule="atLeast"/>
        <w:ind w:firstLine="540"/>
        <w:jc w:val="both"/>
        <w:rPr>
          <w:rFonts w:eastAsia="Times New Roman"/>
          <w:lang w:eastAsia="ru-RU"/>
        </w:rPr>
      </w:pPr>
      <w:r w:rsidRPr="00D43663">
        <w:rPr>
          <w:rFonts w:eastAsia="Times New Roman"/>
          <w:lang w:eastAsia="ru-RU"/>
        </w:rPr>
        <w:t>Федеральная налоговая служба в целях обеспечения единого подхода к применению правовых последствий непредставления (несвоевременного представления) уведомления об исчисленных суммах налогов, авансовых платежей по налогам, сборов, страховых взносов (далее - уведомление об исчисленных суммах) сообщает следующее.</w:t>
      </w:r>
    </w:p>
    <w:p w14:paraId="1E616BA4"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В соответствии с </w:t>
      </w:r>
      <w:hyperlink r:id="rId5" w:history="1">
        <w:r w:rsidRPr="00D43663">
          <w:rPr>
            <w:rFonts w:ascii="Times New Roman" w:eastAsia="Times New Roman" w:hAnsi="Times New Roman" w:cs="Times New Roman"/>
            <w:color w:val="0000FF"/>
            <w:sz w:val="24"/>
            <w:szCs w:val="24"/>
            <w:u w:val="single"/>
            <w:lang w:eastAsia="ru-RU"/>
          </w:rPr>
          <w:t>пунктом 9 статьи 58</w:t>
        </w:r>
      </w:hyperlink>
      <w:r w:rsidRPr="00D43663">
        <w:rPr>
          <w:rFonts w:ascii="Times New Roman" w:eastAsia="Times New Roman" w:hAnsi="Times New Roman" w:cs="Times New Roman"/>
          <w:sz w:val="24"/>
          <w:szCs w:val="24"/>
          <w:lang w:eastAsia="ru-RU"/>
        </w:rPr>
        <w:t xml:space="preserve"> Налогового кодекса Российской Федерации (далее - Кодекс) если законодательством о налогах и сборах предусмотрена уплата (перечисление) налогов (авансовых платежей по налогам, сборов, страховых взносов) до представления соответствующей налоговой декларации (расчета) либо если обязанность по представлению налоговой декларации (расчета) не установлена </w:t>
      </w:r>
      <w:hyperlink r:id="rId6" w:history="1">
        <w:r w:rsidRPr="00D43663">
          <w:rPr>
            <w:rFonts w:ascii="Times New Roman" w:eastAsia="Times New Roman" w:hAnsi="Times New Roman" w:cs="Times New Roman"/>
            <w:color w:val="0000FF"/>
            <w:sz w:val="24"/>
            <w:szCs w:val="24"/>
            <w:u w:val="single"/>
            <w:lang w:eastAsia="ru-RU"/>
          </w:rPr>
          <w:t>Кодексом</w:t>
        </w:r>
      </w:hyperlink>
      <w:r w:rsidRPr="00D43663">
        <w:rPr>
          <w:rFonts w:ascii="Times New Roman" w:eastAsia="Times New Roman" w:hAnsi="Times New Roman" w:cs="Times New Roman"/>
          <w:sz w:val="24"/>
          <w:szCs w:val="24"/>
          <w:lang w:eastAsia="ru-RU"/>
        </w:rPr>
        <w:t xml:space="preserve">, налогоплательщики (плательщики сборов, плательщики страховых взносов, налоговые агенты) представляют в налоговый орган уведомление об исчисленных суммах. </w:t>
      </w:r>
    </w:p>
    <w:p w14:paraId="1A6B320C"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Согласно </w:t>
      </w:r>
      <w:hyperlink r:id="rId7" w:history="1">
        <w:r w:rsidRPr="00D43663">
          <w:rPr>
            <w:rFonts w:ascii="Times New Roman" w:eastAsia="Times New Roman" w:hAnsi="Times New Roman" w:cs="Times New Roman"/>
            <w:color w:val="0000FF"/>
            <w:sz w:val="24"/>
            <w:szCs w:val="24"/>
            <w:u w:val="single"/>
            <w:lang w:eastAsia="ru-RU"/>
          </w:rPr>
          <w:t>подпункту 5 пункта 5 статьи 11.3</w:t>
        </w:r>
      </w:hyperlink>
      <w:r w:rsidRPr="00D43663">
        <w:rPr>
          <w:rFonts w:ascii="Times New Roman" w:eastAsia="Times New Roman" w:hAnsi="Times New Roman" w:cs="Times New Roman"/>
          <w:sz w:val="24"/>
          <w:szCs w:val="24"/>
          <w:lang w:eastAsia="ru-RU"/>
        </w:rPr>
        <w:t xml:space="preserve"> Кодекса уведомление об исчисленных суммах обеспечивает формирование и учет на ЕНС в составе совокупной обязанности налогоплательщика (плательщика сборов, плательщика страховых взносов, налогового агента) соответствующего обязательства, срок исполнения которого предшествует дате представления налоговой декларации (расчета) или направлению налоговым органом сообщения об исчисленных суммах, если обязанность по представлению налоговой декларации не установлена </w:t>
      </w:r>
      <w:hyperlink r:id="rId8" w:history="1">
        <w:r w:rsidRPr="00D43663">
          <w:rPr>
            <w:rFonts w:ascii="Times New Roman" w:eastAsia="Times New Roman" w:hAnsi="Times New Roman" w:cs="Times New Roman"/>
            <w:color w:val="0000FF"/>
            <w:sz w:val="24"/>
            <w:szCs w:val="24"/>
            <w:u w:val="single"/>
            <w:lang w:eastAsia="ru-RU"/>
          </w:rPr>
          <w:t>Кодексом</w:t>
        </w:r>
      </w:hyperlink>
      <w:r w:rsidRPr="00D43663">
        <w:rPr>
          <w:rFonts w:ascii="Times New Roman" w:eastAsia="Times New Roman" w:hAnsi="Times New Roman" w:cs="Times New Roman"/>
          <w:sz w:val="24"/>
          <w:szCs w:val="24"/>
          <w:lang w:eastAsia="ru-RU"/>
        </w:rPr>
        <w:t xml:space="preserve">. </w:t>
      </w:r>
    </w:p>
    <w:p w14:paraId="1D6BA411"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В свою очередь, учет соответствующей обязанности в составе совокупной обязанности необходим для определения принадлежности сумм денежных средств, перечисленных и (или) признаваемых в качестве единого налогового платежа, в счет исполнения конкретной обязанности по уплате налогов, авансовых платежей по налогам, сборов или страховых взносов в соответствии с </w:t>
      </w:r>
      <w:hyperlink r:id="rId9" w:history="1">
        <w:r w:rsidRPr="00D43663">
          <w:rPr>
            <w:rFonts w:ascii="Times New Roman" w:eastAsia="Times New Roman" w:hAnsi="Times New Roman" w:cs="Times New Roman"/>
            <w:color w:val="0000FF"/>
            <w:sz w:val="24"/>
            <w:szCs w:val="24"/>
            <w:u w:val="single"/>
            <w:lang w:eastAsia="ru-RU"/>
          </w:rPr>
          <w:t>пунктом 8 статьи 45</w:t>
        </w:r>
      </w:hyperlink>
      <w:r w:rsidRPr="00D43663">
        <w:rPr>
          <w:rFonts w:ascii="Times New Roman" w:eastAsia="Times New Roman" w:hAnsi="Times New Roman" w:cs="Times New Roman"/>
          <w:sz w:val="24"/>
          <w:szCs w:val="24"/>
          <w:lang w:eastAsia="ru-RU"/>
        </w:rPr>
        <w:t xml:space="preserve"> Кодекса. </w:t>
      </w:r>
    </w:p>
    <w:p w14:paraId="4581F25F"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Таким образом, уведомление об исчисленных суммах выполняет идентификационную и расчетную функции в целях индивидуализации соответствующей обязанности в составе совокупной обязанности налогоплательщика (плательщика сборов, плательщика страховых взносов, налогового агента) и распределения единого налогового платежа в счет исполнения такой обязанности. </w:t>
      </w:r>
    </w:p>
    <w:p w14:paraId="253C0A51"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Соответственно, уведомление об исчисленных суммах в условиях обязательной уплаты всех налогов в качестве обезличенного единого налогового платежа заменяет собой функции, которые до внедрения институтов "единого налогового платежа" и "единого налогового счета" выполняло соответствующее платежное поручение, фактически представляя собой упрощенную форму распоряжения о переводе денежных средств в бюджет. </w:t>
      </w:r>
    </w:p>
    <w:p w14:paraId="0B649D2C"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Данный вывод также подтверждается тем, что в течение 2023 года уведомление об исчисленных суммах могло быть представлено в виде распоряжения на перевод денежных средств с заполнением всех реквизитов, необходимых для определения соответствующей обязанности (</w:t>
      </w:r>
      <w:hyperlink r:id="rId10" w:history="1">
        <w:r w:rsidRPr="00D43663">
          <w:rPr>
            <w:rFonts w:ascii="Times New Roman" w:eastAsia="Times New Roman" w:hAnsi="Times New Roman" w:cs="Times New Roman"/>
            <w:color w:val="0000FF"/>
            <w:sz w:val="24"/>
            <w:szCs w:val="24"/>
            <w:u w:val="single"/>
            <w:lang w:eastAsia="ru-RU"/>
          </w:rPr>
          <w:t>часть 12 статьи 4</w:t>
        </w:r>
      </w:hyperlink>
      <w:r w:rsidRPr="00D43663">
        <w:rPr>
          <w:rFonts w:ascii="Times New Roman" w:eastAsia="Times New Roman" w:hAnsi="Times New Roman" w:cs="Times New Roman"/>
          <w:sz w:val="24"/>
          <w:szCs w:val="24"/>
          <w:lang w:eastAsia="ru-RU"/>
        </w:rPr>
        <w:t xml:space="preserve"> Федерального закона от 14.07.2022 N 263-ФЗ "О внесении изменений в части первую и вторую Налогового кодекса Российской Федерации"). </w:t>
      </w:r>
    </w:p>
    <w:p w14:paraId="2DEE48FF"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lastRenderedPageBreak/>
        <w:t xml:space="preserve">Учитывая преемственность уведомления об исчисленных суммах и платежного поручения, сам факт непредставления или несвоевременного представления уведомления об исчисленных суммах в отсутствие специального указания в законе не может приводить к применению мер ответственности. </w:t>
      </w:r>
    </w:p>
    <w:p w14:paraId="29733854"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Так, в соответствии с ранее сложившейся судебной практикой высших судебных инстанций неверное указание в платежных документах каких-либо реквизитов, влекущее некорректный учет соответствующих сумм, не является основанием считать налогоплательщика не исполнившим или </w:t>
      </w:r>
      <w:proofErr w:type="spellStart"/>
      <w:r w:rsidRPr="00D43663">
        <w:rPr>
          <w:rFonts w:ascii="Times New Roman" w:eastAsia="Times New Roman" w:hAnsi="Times New Roman" w:cs="Times New Roman"/>
          <w:sz w:val="24"/>
          <w:szCs w:val="24"/>
          <w:lang w:eastAsia="ru-RU"/>
        </w:rPr>
        <w:t>ненадлежаще</w:t>
      </w:r>
      <w:proofErr w:type="spellEnd"/>
      <w:r w:rsidRPr="00D43663">
        <w:rPr>
          <w:rFonts w:ascii="Times New Roman" w:eastAsia="Times New Roman" w:hAnsi="Times New Roman" w:cs="Times New Roman"/>
          <w:sz w:val="24"/>
          <w:szCs w:val="24"/>
          <w:lang w:eastAsia="ru-RU"/>
        </w:rPr>
        <w:t xml:space="preserve"> исполнившим обязанность по уплате налога и не влечет применение мер ответственности (кассационное </w:t>
      </w:r>
      <w:hyperlink r:id="rId11" w:history="1">
        <w:r w:rsidRPr="00D43663">
          <w:rPr>
            <w:rFonts w:ascii="Times New Roman" w:eastAsia="Times New Roman" w:hAnsi="Times New Roman" w:cs="Times New Roman"/>
            <w:color w:val="0000FF"/>
            <w:sz w:val="24"/>
            <w:szCs w:val="24"/>
            <w:u w:val="single"/>
            <w:lang w:eastAsia="ru-RU"/>
          </w:rPr>
          <w:t>определение</w:t>
        </w:r>
      </w:hyperlink>
      <w:r w:rsidRPr="00D43663">
        <w:rPr>
          <w:rFonts w:ascii="Times New Roman" w:eastAsia="Times New Roman" w:hAnsi="Times New Roman" w:cs="Times New Roman"/>
          <w:sz w:val="24"/>
          <w:szCs w:val="24"/>
          <w:lang w:eastAsia="ru-RU"/>
        </w:rPr>
        <w:t xml:space="preserve"> Судебной коллегии по административным делам ВС РФ от 23.12.2020 N 88-КАД20-1-К8, </w:t>
      </w:r>
      <w:hyperlink r:id="rId12" w:history="1">
        <w:r w:rsidRPr="00D43663">
          <w:rPr>
            <w:rFonts w:ascii="Times New Roman" w:eastAsia="Times New Roman" w:hAnsi="Times New Roman" w:cs="Times New Roman"/>
            <w:color w:val="0000FF"/>
            <w:sz w:val="24"/>
            <w:szCs w:val="24"/>
            <w:u w:val="single"/>
            <w:lang w:eastAsia="ru-RU"/>
          </w:rPr>
          <w:t>постановление</w:t>
        </w:r>
      </w:hyperlink>
      <w:r w:rsidRPr="00D43663">
        <w:rPr>
          <w:rFonts w:ascii="Times New Roman" w:eastAsia="Times New Roman" w:hAnsi="Times New Roman" w:cs="Times New Roman"/>
          <w:sz w:val="24"/>
          <w:szCs w:val="24"/>
          <w:lang w:eastAsia="ru-RU"/>
        </w:rPr>
        <w:t xml:space="preserve"> Президиума ВАС РФ от 23.07.2013 N 784/13). </w:t>
      </w:r>
    </w:p>
    <w:p w14:paraId="4444B240"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Сам факт неуплаты, выражающийся исключительно в непредставлении платежного поручения, функции которого в текущем регулировании выполняет уведомление об исчисленных суммах, в отсутствие признаков занижения налоговой базы также не является основанием для применения штрафных санкций (</w:t>
      </w:r>
      <w:hyperlink r:id="rId13" w:history="1">
        <w:r w:rsidRPr="00D43663">
          <w:rPr>
            <w:rFonts w:ascii="Times New Roman" w:eastAsia="Times New Roman" w:hAnsi="Times New Roman" w:cs="Times New Roman"/>
            <w:color w:val="0000FF"/>
            <w:sz w:val="24"/>
            <w:szCs w:val="24"/>
            <w:u w:val="single"/>
            <w:lang w:eastAsia="ru-RU"/>
          </w:rPr>
          <w:t>пункт 19</w:t>
        </w:r>
      </w:hyperlink>
      <w:r w:rsidRPr="00D43663">
        <w:rPr>
          <w:rFonts w:ascii="Times New Roman" w:eastAsia="Times New Roman" w:hAnsi="Times New Roman" w:cs="Times New Roman"/>
          <w:sz w:val="24"/>
          <w:szCs w:val="24"/>
          <w:lang w:eastAsia="ru-RU"/>
        </w:rPr>
        <w:t xml:space="preserve"> постановления Пленума Высшего Арбитражного Суда Российской Федерации от 30.07.2013 N 57). </w:t>
      </w:r>
    </w:p>
    <w:p w14:paraId="1A7722E2"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Также следует принимать во внимание, что введение института уведомлений об исчисленных суммах, замещающих платежные поручения, требующие заполнения большого количества реквизитов, было направлено на упрощение исполнения обязанности по уплате налогов (авансовых платежей по налогам, страховых взносов), в связи с чем применение мер ответственности за непредставление уведомления об исчисленных суммах противоречит целям регулирования и назначению этого документа. </w:t>
      </w:r>
    </w:p>
    <w:p w14:paraId="67820593" w14:textId="77777777" w:rsidR="00D43663" w:rsidRPr="00D43663" w:rsidRDefault="001E1956" w:rsidP="00D43663">
      <w:pPr>
        <w:spacing w:before="168" w:after="0" w:line="288" w:lineRule="atLeast"/>
        <w:ind w:firstLine="540"/>
        <w:jc w:val="both"/>
        <w:rPr>
          <w:rFonts w:ascii="Times New Roman" w:eastAsia="Times New Roman" w:hAnsi="Times New Roman" w:cs="Times New Roman"/>
          <w:sz w:val="24"/>
          <w:szCs w:val="24"/>
          <w:lang w:eastAsia="ru-RU"/>
        </w:rPr>
      </w:pPr>
      <w:hyperlink r:id="rId14" w:history="1">
        <w:r w:rsidR="00D43663" w:rsidRPr="00D43663">
          <w:rPr>
            <w:rFonts w:ascii="Times New Roman" w:eastAsia="Times New Roman" w:hAnsi="Times New Roman" w:cs="Times New Roman"/>
            <w:color w:val="0000FF"/>
            <w:sz w:val="24"/>
            <w:szCs w:val="24"/>
            <w:u w:val="single"/>
            <w:lang w:eastAsia="ru-RU"/>
          </w:rPr>
          <w:t>Статья 126</w:t>
        </w:r>
      </w:hyperlink>
      <w:r w:rsidR="00D43663" w:rsidRPr="00D43663">
        <w:rPr>
          <w:rFonts w:ascii="Times New Roman" w:eastAsia="Times New Roman" w:hAnsi="Times New Roman" w:cs="Times New Roman"/>
          <w:sz w:val="24"/>
          <w:szCs w:val="24"/>
          <w:lang w:eastAsia="ru-RU"/>
        </w:rPr>
        <w:t xml:space="preserve"> Кодекса устанавливает ответственность за непредставление налоговому органу сведений, необходимых для осуществления налогового контроля. В силу </w:t>
      </w:r>
      <w:hyperlink r:id="rId15" w:history="1">
        <w:r w:rsidR="00D43663" w:rsidRPr="00D43663">
          <w:rPr>
            <w:rFonts w:ascii="Times New Roman" w:eastAsia="Times New Roman" w:hAnsi="Times New Roman" w:cs="Times New Roman"/>
            <w:color w:val="0000FF"/>
            <w:sz w:val="24"/>
            <w:szCs w:val="24"/>
            <w:u w:val="single"/>
            <w:lang w:eastAsia="ru-RU"/>
          </w:rPr>
          <w:t>абзаца второго пункта 1 статьи 82</w:t>
        </w:r>
      </w:hyperlink>
      <w:r w:rsidR="00D43663" w:rsidRPr="00D43663">
        <w:rPr>
          <w:rFonts w:ascii="Times New Roman" w:eastAsia="Times New Roman" w:hAnsi="Times New Roman" w:cs="Times New Roman"/>
          <w:sz w:val="24"/>
          <w:szCs w:val="24"/>
          <w:lang w:eastAsia="ru-RU"/>
        </w:rPr>
        <w:t xml:space="preserve"> Кодекса налоговый контроль проводится должностными лицами налоговых органов в предусмотренных </w:t>
      </w:r>
      <w:hyperlink r:id="rId16" w:history="1">
        <w:r w:rsidR="00D43663" w:rsidRPr="00D43663">
          <w:rPr>
            <w:rFonts w:ascii="Times New Roman" w:eastAsia="Times New Roman" w:hAnsi="Times New Roman" w:cs="Times New Roman"/>
            <w:color w:val="0000FF"/>
            <w:sz w:val="24"/>
            <w:szCs w:val="24"/>
            <w:u w:val="single"/>
            <w:lang w:eastAsia="ru-RU"/>
          </w:rPr>
          <w:t>Кодексом</w:t>
        </w:r>
      </w:hyperlink>
      <w:r w:rsidR="00D43663" w:rsidRPr="00D43663">
        <w:rPr>
          <w:rFonts w:ascii="Times New Roman" w:eastAsia="Times New Roman" w:hAnsi="Times New Roman" w:cs="Times New Roman"/>
          <w:sz w:val="24"/>
          <w:szCs w:val="24"/>
          <w:lang w:eastAsia="ru-RU"/>
        </w:rPr>
        <w:t xml:space="preserve"> формах в том числе посредством налоговых проверок, получения объяснений налогоплательщиков, осмотра помещений. </w:t>
      </w:r>
    </w:p>
    <w:p w14:paraId="021CD191"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Учитывая правовую природу и назначение уведомления об исчисленных суммах, его непредставление не подпадает под состав налогового правонарушения, предусмотренного </w:t>
      </w:r>
      <w:hyperlink r:id="rId17" w:history="1">
        <w:r w:rsidRPr="00D43663">
          <w:rPr>
            <w:rFonts w:ascii="Times New Roman" w:eastAsia="Times New Roman" w:hAnsi="Times New Roman" w:cs="Times New Roman"/>
            <w:color w:val="0000FF"/>
            <w:sz w:val="24"/>
            <w:szCs w:val="24"/>
            <w:u w:val="single"/>
            <w:lang w:eastAsia="ru-RU"/>
          </w:rPr>
          <w:t>пунктом 1 статьи 126</w:t>
        </w:r>
      </w:hyperlink>
      <w:r w:rsidRPr="00D43663">
        <w:rPr>
          <w:rFonts w:ascii="Times New Roman" w:eastAsia="Times New Roman" w:hAnsi="Times New Roman" w:cs="Times New Roman"/>
          <w:sz w:val="24"/>
          <w:szCs w:val="24"/>
          <w:lang w:eastAsia="ru-RU"/>
        </w:rPr>
        <w:t xml:space="preserve"> Кодекса. Принимая во внимание административный характер правоотношений, в которых находятся орган и лицо, привлекаемое к различным видам юридической ответственности, расширительное толкование норм о юридической ответственности не допускается (</w:t>
      </w:r>
      <w:hyperlink r:id="rId18" w:history="1">
        <w:r w:rsidRPr="00D43663">
          <w:rPr>
            <w:rFonts w:ascii="Times New Roman" w:eastAsia="Times New Roman" w:hAnsi="Times New Roman" w:cs="Times New Roman"/>
            <w:color w:val="0000FF"/>
            <w:sz w:val="24"/>
            <w:szCs w:val="24"/>
            <w:u w:val="single"/>
            <w:lang w:eastAsia="ru-RU"/>
          </w:rPr>
          <w:t>определение</w:t>
        </w:r>
      </w:hyperlink>
      <w:r w:rsidRPr="00D43663">
        <w:rPr>
          <w:rFonts w:ascii="Times New Roman" w:eastAsia="Times New Roman" w:hAnsi="Times New Roman" w:cs="Times New Roman"/>
          <w:sz w:val="24"/>
          <w:szCs w:val="24"/>
          <w:lang w:eastAsia="ru-RU"/>
        </w:rPr>
        <w:t xml:space="preserve"> Судебной коллегии по экономическим спорам Верховного Суда Российской Федерации от 26.12.2017 N 304-АД17-12725). </w:t>
      </w:r>
    </w:p>
    <w:p w14:paraId="26A05024" w14:textId="77777777" w:rsidR="00D43663" w:rsidRPr="00D43663" w:rsidRDefault="00D43663" w:rsidP="00D43663">
      <w:pPr>
        <w:spacing w:before="168"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Таким образом, в соответствии с действующим законодательством Российской Федерации о налогах и сборах непредставление (несвоевременное представление) уведомления об исчисленных суммах не образует состава налогового правонарушения. </w:t>
      </w:r>
    </w:p>
    <w:p w14:paraId="6F2F2BDA" w14:textId="77777777" w:rsidR="00D43663" w:rsidRPr="00D43663" w:rsidRDefault="00D43663" w:rsidP="00D43663">
      <w:pPr>
        <w:spacing w:after="0" w:line="288" w:lineRule="atLeast"/>
        <w:ind w:firstLine="540"/>
        <w:jc w:val="both"/>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  </w:t>
      </w:r>
    </w:p>
    <w:p w14:paraId="7FB23291" w14:textId="77777777" w:rsidR="00D43663" w:rsidRPr="00D43663" w:rsidRDefault="00D43663" w:rsidP="00D43663">
      <w:pPr>
        <w:spacing w:after="0" w:line="288" w:lineRule="atLeast"/>
        <w:jc w:val="right"/>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Действительный </w:t>
      </w:r>
    </w:p>
    <w:p w14:paraId="724AE5ED" w14:textId="77777777" w:rsidR="00D43663" w:rsidRPr="00D43663" w:rsidRDefault="00D43663" w:rsidP="00D43663">
      <w:pPr>
        <w:spacing w:after="0" w:line="288" w:lineRule="atLeast"/>
        <w:jc w:val="right"/>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государственный советник </w:t>
      </w:r>
    </w:p>
    <w:p w14:paraId="3E639BAD" w14:textId="77777777" w:rsidR="00D43663" w:rsidRPr="00D43663" w:rsidRDefault="00D43663" w:rsidP="00D43663">
      <w:pPr>
        <w:spacing w:after="0" w:line="288" w:lineRule="atLeast"/>
        <w:jc w:val="right"/>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Российской Федерации </w:t>
      </w:r>
    </w:p>
    <w:p w14:paraId="0E5808F4" w14:textId="77777777" w:rsidR="00D43663" w:rsidRPr="00D43663" w:rsidRDefault="00D43663" w:rsidP="00D43663">
      <w:pPr>
        <w:spacing w:after="0" w:line="288" w:lineRule="atLeast"/>
        <w:jc w:val="right"/>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2 класса </w:t>
      </w:r>
    </w:p>
    <w:p w14:paraId="625C2898" w14:textId="77777777" w:rsidR="00D43663" w:rsidRPr="00D43663" w:rsidRDefault="00D43663" w:rsidP="00D43663">
      <w:pPr>
        <w:spacing w:after="0" w:line="288" w:lineRule="atLeast"/>
        <w:jc w:val="right"/>
        <w:rPr>
          <w:rFonts w:ascii="Times New Roman" w:eastAsia="Times New Roman" w:hAnsi="Times New Roman" w:cs="Times New Roman"/>
          <w:sz w:val="24"/>
          <w:szCs w:val="24"/>
          <w:lang w:eastAsia="ru-RU"/>
        </w:rPr>
      </w:pPr>
      <w:r w:rsidRPr="00D43663">
        <w:rPr>
          <w:rFonts w:ascii="Times New Roman" w:eastAsia="Times New Roman" w:hAnsi="Times New Roman" w:cs="Times New Roman"/>
          <w:sz w:val="24"/>
          <w:szCs w:val="24"/>
          <w:lang w:eastAsia="ru-RU"/>
        </w:rPr>
        <w:t xml:space="preserve">В.В.БАЦИЕВ </w:t>
      </w:r>
    </w:p>
    <w:p w14:paraId="33D9CF9E" w14:textId="77777777" w:rsidR="00301197" w:rsidRPr="0059067C" w:rsidRDefault="00301197" w:rsidP="00D5170D">
      <w:pPr>
        <w:spacing w:after="0" w:line="276" w:lineRule="auto"/>
        <w:jc w:val="both"/>
        <w:rPr>
          <w:rFonts w:ascii="Times New Roman" w:eastAsia="Calibri" w:hAnsi="Times New Roman" w:cs="Times New Roman"/>
          <w:sz w:val="24"/>
          <w:szCs w:val="24"/>
        </w:rPr>
      </w:pPr>
    </w:p>
    <w:sectPr w:rsidR="00301197" w:rsidRPr="005906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0584D"/>
    <w:multiLevelType w:val="multilevel"/>
    <w:tmpl w:val="B8E6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BE5F9E"/>
    <w:multiLevelType w:val="multilevel"/>
    <w:tmpl w:val="05BC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04D47"/>
    <w:multiLevelType w:val="multilevel"/>
    <w:tmpl w:val="A27E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A13D0B"/>
    <w:multiLevelType w:val="multilevel"/>
    <w:tmpl w:val="2266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E21AD6"/>
    <w:multiLevelType w:val="hybridMultilevel"/>
    <w:tmpl w:val="960E09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9E1308"/>
    <w:multiLevelType w:val="hybridMultilevel"/>
    <w:tmpl w:val="7CA8D9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EB581C"/>
    <w:multiLevelType w:val="hybridMultilevel"/>
    <w:tmpl w:val="05865B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A42CC5"/>
    <w:multiLevelType w:val="multilevel"/>
    <w:tmpl w:val="5C06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8F134C"/>
    <w:multiLevelType w:val="multilevel"/>
    <w:tmpl w:val="F76A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9C3AB5"/>
    <w:multiLevelType w:val="hybridMultilevel"/>
    <w:tmpl w:val="986ABC72"/>
    <w:lvl w:ilvl="0" w:tplc="04190011">
      <w:start w:val="1"/>
      <w:numFmt w:val="decimal"/>
      <w:lvlText w:val="%1)"/>
      <w:lvlJc w:val="left"/>
      <w:pPr>
        <w:ind w:left="900" w:hanging="360"/>
      </w:pPr>
      <w:rPr>
        <w:rFonts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0">
    <w:nsid w:val="309578BD"/>
    <w:multiLevelType w:val="multilevel"/>
    <w:tmpl w:val="9956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4E498B"/>
    <w:multiLevelType w:val="hybridMultilevel"/>
    <w:tmpl w:val="56763F90"/>
    <w:lvl w:ilvl="0" w:tplc="CFB4D9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3CBD6947"/>
    <w:multiLevelType w:val="hybridMultilevel"/>
    <w:tmpl w:val="0DF0ED00"/>
    <w:lvl w:ilvl="0" w:tplc="CFB4D97A">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3FF25A86"/>
    <w:multiLevelType w:val="hybridMultilevel"/>
    <w:tmpl w:val="00A2C25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46B435C4"/>
    <w:multiLevelType w:val="multilevel"/>
    <w:tmpl w:val="DFB48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724D6E"/>
    <w:multiLevelType w:val="hybridMultilevel"/>
    <w:tmpl w:val="70C223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7936041"/>
    <w:multiLevelType w:val="hybridMultilevel"/>
    <w:tmpl w:val="B850449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nsid w:val="592244E9"/>
    <w:multiLevelType w:val="hybridMultilevel"/>
    <w:tmpl w:val="AC10757A"/>
    <w:lvl w:ilvl="0" w:tplc="041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66D66280"/>
    <w:multiLevelType w:val="multilevel"/>
    <w:tmpl w:val="024C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DB49AF"/>
    <w:multiLevelType w:val="hybridMultilevel"/>
    <w:tmpl w:val="C91CEF60"/>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73EE4C97"/>
    <w:multiLevelType w:val="hybridMultilevel"/>
    <w:tmpl w:val="E59ACBA4"/>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nsid w:val="794D5AB6"/>
    <w:multiLevelType w:val="hybridMultilevel"/>
    <w:tmpl w:val="93E43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D835F0E"/>
    <w:multiLevelType w:val="hybridMultilevel"/>
    <w:tmpl w:val="6BD8D814"/>
    <w:lvl w:ilvl="0" w:tplc="0419000F">
      <w:start w:val="1"/>
      <w:numFmt w:val="decimal"/>
      <w:lvlText w:val="%1."/>
      <w:lvlJc w:val="left"/>
      <w:pPr>
        <w:ind w:left="1260" w:hanging="360"/>
      </w:pPr>
      <w:rPr>
        <w:rFonts w:hint="default"/>
      </w:rPr>
    </w:lvl>
    <w:lvl w:ilvl="1" w:tplc="FFFFFFFF" w:tentative="1">
      <w:start w:val="1"/>
      <w:numFmt w:val="bullet"/>
      <w:lvlText w:val="o"/>
      <w:lvlJc w:val="left"/>
      <w:pPr>
        <w:ind w:left="1980" w:hanging="360"/>
      </w:pPr>
      <w:rPr>
        <w:rFonts w:ascii="Courier New" w:hAnsi="Courier New" w:cs="Courier New" w:hint="default"/>
      </w:rPr>
    </w:lvl>
    <w:lvl w:ilvl="2" w:tplc="FFFFFFFF" w:tentative="1">
      <w:start w:val="1"/>
      <w:numFmt w:val="bullet"/>
      <w:lvlText w:val=""/>
      <w:lvlJc w:val="left"/>
      <w:pPr>
        <w:ind w:left="2700" w:hanging="360"/>
      </w:pPr>
      <w:rPr>
        <w:rFonts w:ascii="Wingdings" w:hAnsi="Wingdings" w:hint="default"/>
      </w:rPr>
    </w:lvl>
    <w:lvl w:ilvl="3" w:tplc="FFFFFFFF" w:tentative="1">
      <w:start w:val="1"/>
      <w:numFmt w:val="bullet"/>
      <w:lvlText w:val=""/>
      <w:lvlJc w:val="left"/>
      <w:pPr>
        <w:ind w:left="3420" w:hanging="360"/>
      </w:pPr>
      <w:rPr>
        <w:rFonts w:ascii="Symbol" w:hAnsi="Symbol" w:hint="default"/>
      </w:rPr>
    </w:lvl>
    <w:lvl w:ilvl="4" w:tplc="FFFFFFFF" w:tentative="1">
      <w:start w:val="1"/>
      <w:numFmt w:val="bullet"/>
      <w:lvlText w:val="o"/>
      <w:lvlJc w:val="left"/>
      <w:pPr>
        <w:ind w:left="4140" w:hanging="360"/>
      </w:pPr>
      <w:rPr>
        <w:rFonts w:ascii="Courier New" w:hAnsi="Courier New" w:cs="Courier New" w:hint="default"/>
      </w:rPr>
    </w:lvl>
    <w:lvl w:ilvl="5" w:tplc="FFFFFFFF" w:tentative="1">
      <w:start w:val="1"/>
      <w:numFmt w:val="bullet"/>
      <w:lvlText w:val=""/>
      <w:lvlJc w:val="left"/>
      <w:pPr>
        <w:ind w:left="4860" w:hanging="360"/>
      </w:pPr>
      <w:rPr>
        <w:rFonts w:ascii="Wingdings" w:hAnsi="Wingdings" w:hint="default"/>
      </w:rPr>
    </w:lvl>
    <w:lvl w:ilvl="6" w:tplc="FFFFFFFF" w:tentative="1">
      <w:start w:val="1"/>
      <w:numFmt w:val="bullet"/>
      <w:lvlText w:val=""/>
      <w:lvlJc w:val="left"/>
      <w:pPr>
        <w:ind w:left="5580" w:hanging="360"/>
      </w:pPr>
      <w:rPr>
        <w:rFonts w:ascii="Symbol" w:hAnsi="Symbol" w:hint="default"/>
      </w:rPr>
    </w:lvl>
    <w:lvl w:ilvl="7" w:tplc="FFFFFFFF" w:tentative="1">
      <w:start w:val="1"/>
      <w:numFmt w:val="bullet"/>
      <w:lvlText w:val="o"/>
      <w:lvlJc w:val="left"/>
      <w:pPr>
        <w:ind w:left="6300" w:hanging="360"/>
      </w:pPr>
      <w:rPr>
        <w:rFonts w:ascii="Courier New" w:hAnsi="Courier New" w:cs="Courier New" w:hint="default"/>
      </w:rPr>
    </w:lvl>
    <w:lvl w:ilvl="8" w:tplc="FFFFFFFF" w:tentative="1">
      <w:start w:val="1"/>
      <w:numFmt w:val="bullet"/>
      <w:lvlText w:val=""/>
      <w:lvlJc w:val="left"/>
      <w:pPr>
        <w:ind w:left="7020" w:hanging="360"/>
      </w:pPr>
      <w:rPr>
        <w:rFonts w:ascii="Wingdings" w:hAnsi="Wingdings" w:hint="default"/>
      </w:rPr>
    </w:lvl>
  </w:abstractNum>
  <w:num w:numId="1">
    <w:abstractNumId w:val="14"/>
  </w:num>
  <w:num w:numId="2">
    <w:abstractNumId w:val="2"/>
  </w:num>
  <w:num w:numId="3">
    <w:abstractNumId w:val="12"/>
  </w:num>
  <w:num w:numId="4">
    <w:abstractNumId w:val="18"/>
  </w:num>
  <w:num w:numId="5">
    <w:abstractNumId w:val="6"/>
  </w:num>
  <w:num w:numId="6">
    <w:abstractNumId w:val="11"/>
  </w:num>
  <w:num w:numId="7">
    <w:abstractNumId w:val="4"/>
  </w:num>
  <w:num w:numId="8">
    <w:abstractNumId w:val="21"/>
  </w:num>
  <w:num w:numId="9">
    <w:abstractNumId w:val="15"/>
  </w:num>
  <w:num w:numId="10">
    <w:abstractNumId w:val="5"/>
  </w:num>
  <w:num w:numId="11">
    <w:abstractNumId w:val="19"/>
  </w:num>
  <w:num w:numId="12">
    <w:abstractNumId w:val="17"/>
  </w:num>
  <w:num w:numId="13">
    <w:abstractNumId w:val="13"/>
  </w:num>
  <w:num w:numId="14">
    <w:abstractNumId w:val="22"/>
  </w:num>
  <w:num w:numId="15">
    <w:abstractNumId w:val="9"/>
  </w:num>
  <w:num w:numId="16">
    <w:abstractNumId w:val="16"/>
  </w:num>
  <w:num w:numId="17">
    <w:abstractNumId w:val="20"/>
  </w:num>
  <w:num w:numId="18">
    <w:abstractNumId w:val="1"/>
  </w:num>
  <w:num w:numId="19">
    <w:abstractNumId w:val="3"/>
  </w:num>
  <w:num w:numId="20">
    <w:abstractNumId w:val="8"/>
  </w:num>
  <w:num w:numId="21">
    <w:abstractNumId w:val="7"/>
  </w:num>
  <w:num w:numId="22">
    <w:abstractNumId w:val="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15A"/>
    <w:rsid w:val="00023FB9"/>
    <w:rsid w:val="00055898"/>
    <w:rsid w:val="00097FF8"/>
    <w:rsid w:val="000E3028"/>
    <w:rsid w:val="0014541D"/>
    <w:rsid w:val="001553B5"/>
    <w:rsid w:val="001564E4"/>
    <w:rsid w:val="001801FE"/>
    <w:rsid w:val="001E1956"/>
    <w:rsid w:val="001F23E2"/>
    <w:rsid w:val="00252C77"/>
    <w:rsid w:val="00265A73"/>
    <w:rsid w:val="00276862"/>
    <w:rsid w:val="00277E97"/>
    <w:rsid w:val="002C4869"/>
    <w:rsid w:val="002C52AA"/>
    <w:rsid w:val="00301197"/>
    <w:rsid w:val="00315CEF"/>
    <w:rsid w:val="003A26B0"/>
    <w:rsid w:val="003A315A"/>
    <w:rsid w:val="003C7695"/>
    <w:rsid w:val="003D1E04"/>
    <w:rsid w:val="003D79AE"/>
    <w:rsid w:val="003F186F"/>
    <w:rsid w:val="003F7A64"/>
    <w:rsid w:val="0046677F"/>
    <w:rsid w:val="004842A8"/>
    <w:rsid w:val="00537AA4"/>
    <w:rsid w:val="0056505D"/>
    <w:rsid w:val="0059067C"/>
    <w:rsid w:val="005A14A9"/>
    <w:rsid w:val="005D3F5F"/>
    <w:rsid w:val="00603EC4"/>
    <w:rsid w:val="00605708"/>
    <w:rsid w:val="006969F1"/>
    <w:rsid w:val="00721B35"/>
    <w:rsid w:val="00735F72"/>
    <w:rsid w:val="00742A96"/>
    <w:rsid w:val="00782886"/>
    <w:rsid w:val="0079407A"/>
    <w:rsid w:val="007D3D3F"/>
    <w:rsid w:val="007F44A0"/>
    <w:rsid w:val="007F57CD"/>
    <w:rsid w:val="0080202B"/>
    <w:rsid w:val="008633F2"/>
    <w:rsid w:val="008813B5"/>
    <w:rsid w:val="008908BA"/>
    <w:rsid w:val="008A591F"/>
    <w:rsid w:val="008C1217"/>
    <w:rsid w:val="008C552D"/>
    <w:rsid w:val="008D2A8C"/>
    <w:rsid w:val="0090645A"/>
    <w:rsid w:val="00911FEC"/>
    <w:rsid w:val="009212B9"/>
    <w:rsid w:val="0093142D"/>
    <w:rsid w:val="009669A4"/>
    <w:rsid w:val="009835F0"/>
    <w:rsid w:val="009901AE"/>
    <w:rsid w:val="009A2323"/>
    <w:rsid w:val="009B6D77"/>
    <w:rsid w:val="009D50D5"/>
    <w:rsid w:val="009F30CE"/>
    <w:rsid w:val="00A226FF"/>
    <w:rsid w:val="00A45CB1"/>
    <w:rsid w:val="00A804AB"/>
    <w:rsid w:val="00A80BA0"/>
    <w:rsid w:val="00A9657D"/>
    <w:rsid w:val="00AA4C8C"/>
    <w:rsid w:val="00AF79B3"/>
    <w:rsid w:val="00B024B7"/>
    <w:rsid w:val="00B27828"/>
    <w:rsid w:val="00B514B7"/>
    <w:rsid w:val="00B519F4"/>
    <w:rsid w:val="00B67FAE"/>
    <w:rsid w:val="00BB2D9C"/>
    <w:rsid w:val="00BD2116"/>
    <w:rsid w:val="00BF3A9C"/>
    <w:rsid w:val="00C0264C"/>
    <w:rsid w:val="00C24798"/>
    <w:rsid w:val="00D43663"/>
    <w:rsid w:val="00D5150F"/>
    <w:rsid w:val="00D5170D"/>
    <w:rsid w:val="00D66B75"/>
    <w:rsid w:val="00D70980"/>
    <w:rsid w:val="00DC65C7"/>
    <w:rsid w:val="00E01897"/>
    <w:rsid w:val="00E15A3D"/>
    <w:rsid w:val="00E60FB2"/>
    <w:rsid w:val="00E87113"/>
    <w:rsid w:val="00E87C62"/>
    <w:rsid w:val="00EB1CF2"/>
    <w:rsid w:val="00EB522D"/>
    <w:rsid w:val="00EC7431"/>
    <w:rsid w:val="00F03C34"/>
    <w:rsid w:val="00F141A5"/>
    <w:rsid w:val="00F15EC8"/>
    <w:rsid w:val="00F33D34"/>
    <w:rsid w:val="00F447A5"/>
    <w:rsid w:val="00F7738E"/>
    <w:rsid w:val="00F9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11E07"/>
  <w15:docId w15:val="{9317C8D2-2011-456E-B955-17C835E7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65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D2A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E15A3D"/>
    <w:rPr>
      <w:rFonts w:ascii="Times New Roman" w:hAnsi="Times New Roman" w:cs="Times New Roman"/>
      <w:sz w:val="24"/>
      <w:szCs w:val="24"/>
    </w:rPr>
  </w:style>
  <w:style w:type="paragraph" w:styleId="a5">
    <w:name w:val="List Paragraph"/>
    <w:basedOn w:val="a"/>
    <w:uiPriority w:val="34"/>
    <w:qFormat/>
    <w:rsid w:val="0059067C"/>
    <w:pPr>
      <w:ind w:left="720"/>
      <w:contextualSpacing/>
    </w:pPr>
  </w:style>
  <w:style w:type="character" w:styleId="a6">
    <w:name w:val="Hyperlink"/>
    <w:basedOn w:val="a0"/>
    <w:uiPriority w:val="99"/>
    <w:semiHidden/>
    <w:unhideWhenUsed/>
    <w:rsid w:val="00D436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4959">
      <w:bodyDiv w:val="1"/>
      <w:marLeft w:val="0"/>
      <w:marRight w:val="0"/>
      <w:marTop w:val="0"/>
      <w:marBottom w:val="0"/>
      <w:divBdr>
        <w:top w:val="none" w:sz="0" w:space="0" w:color="auto"/>
        <w:left w:val="none" w:sz="0" w:space="0" w:color="auto"/>
        <w:bottom w:val="none" w:sz="0" w:space="0" w:color="auto"/>
        <w:right w:val="none" w:sz="0" w:space="0" w:color="auto"/>
      </w:divBdr>
    </w:div>
    <w:div w:id="88740138">
      <w:bodyDiv w:val="1"/>
      <w:marLeft w:val="0"/>
      <w:marRight w:val="0"/>
      <w:marTop w:val="0"/>
      <w:marBottom w:val="0"/>
      <w:divBdr>
        <w:top w:val="none" w:sz="0" w:space="0" w:color="auto"/>
        <w:left w:val="none" w:sz="0" w:space="0" w:color="auto"/>
        <w:bottom w:val="none" w:sz="0" w:space="0" w:color="auto"/>
        <w:right w:val="none" w:sz="0" w:space="0" w:color="auto"/>
      </w:divBdr>
    </w:div>
    <w:div w:id="164788543">
      <w:bodyDiv w:val="1"/>
      <w:marLeft w:val="0"/>
      <w:marRight w:val="0"/>
      <w:marTop w:val="0"/>
      <w:marBottom w:val="0"/>
      <w:divBdr>
        <w:top w:val="none" w:sz="0" w:space="0" w:color="auto"/>
        <w:left w:val="none" w:sz="0" w:space="0" w:color="auto"/>
        <w:bottom w:val="none" w:sz="0" w:space="0" w:color="auto"/>
        <w:right w:val="none" w:sz="0" w:space="0" w:color="auto"/>
      </w:divBdr>
    </w:div>
    <w:div w:id="265232227">
      <w:bodyDiv w:val="1"/>
      <w:marLeft w:val="0"/>
      <w:marRight w:val="0"/>
      <w:marTop w:val="0"/>
      <w:marBottom w:val="0"/>
      <w:divBdr>
        <w:top w:val="none" w:sz="0" w:space="0" w:color="auto"/>
        <w:left w:val="none" w:sz="0" w:space="0" w:color="auto"/>
        <w:bottom w:val="none" w:sz="0" w:space="0" w:color="auto"/>
        <w:right w:val="none" w:sz="0" w:space="0" w:color="auto"/>
      </w:divBdr>
    </w:div>
    <w:div w:id="274487482">
      <w:bodyDiv w:val="1"/>
      <w:marLeft w:val="0"/>
      <w:marRight w:val="0"/>
      <w:marTop w:val="0"/>
      <w:marBottom w:val="0"/>
      <w:divBdr>
        <w:top w:val="none" w:sz="0" w:space="0" w:color="auto"/>
        <w:left w:val="none" w:sz="0" w:space="0" w:color="auto"/>
        <w:bottom w:val="none" w:sz="0" w:space="0" w:color="auto"/>
        <w:right w:val="none" w:sz="0" w:space="0" w:color="auto"/>
      </w:divBdr>
    </w:div>
    <w:div w:id="312569589">
      <w:bodyDiv w:val="1"/>
      <w:marLeft w:val="0"/>
      <w:marRight w:val="0"/>
      <w:marTop w:val="0"/>
      <w:marBottom w:val="0"/>
      <w:divBdr>
        <w:top w:val="none" w:sz="0" w:space="0" w:color="auto"/>
        <w:left w:val="none" w:sz="0" w:space="0" w:color="auto"/>
        <w:bottom w:val="none" w:sz="0" w:space="0" w:color="auto"/>
        <w:right w:val="none" w:sz="0" w:space="0" w:color="auto"/>
      </w:divBdr>
    </w:div>
    <w:div w:id="379525158">
      <w:bodyDiv w:val="1"/>
      <w:marLeft w:val="0"/>
      <w:marRight w:val="0"/>
      <w:marTop w:val="0"/>
      <w:marBottom w:val="0"/>
      <w:divBdr>
        <w:top w:val="none" w:sz="0" w:space="0" w:color="auto"/>
        <w:left w:val="none" w:sz="0" w:space="0" w:color="auto"/>
        <w:bottom w:val="none" w:sz="0" w:space="0" w:color="auto"/>
        <w:right w:val="none" w:sz="0" w:space="0" w:color="auto"/>
      </w:divBdr>
    </w:div>
    <w:div w:id="472596914">
      <w:bodyDiv w:val="1"/>
      <w:marLeft w:val="0"/>
      <w:marRight w:val="0"/>
      <w:marTop w:val="0"/>
      <w:marBottom w:val="0"/>
      <w:divBdr>
        <w:top w:val="none" w:sz="0" w:space="0" w:color="auto"/>
        <w:left w:val="none" w:sz="0" w:space="0" w:color="auto"/>
        <w:bottom w:val="none" w:sz="0" w:space="0" w:color="auto"/>
        <w:right w:val="none" w:sz="0" w:space="0" w:color="auto"/>
      </w:divBdr>
    </w:div>
    <w:div w:id="514803327">
      <w:bodyDiv w:val="1"/>
      <w:marLeft w:val="0"/>
      <w:marRight w:val="0"/>
      <w:marTop w:val="0"/>
      <w:marBottom w:val="0"/>
      <w:divBdr>
        <w:top w:val="none" w:sz="0" w:space="0" w:color="auto"/>
        <w:left w:val="none" w:sz="0" w:space="0" w:color="auto"/>
        <w:bottom w:val="none" w:sz="0" w:space="0" w:color="auto"/>
        <w:right w:val="none" w:sz="0" w:space="0" w:color="auto"/>
      </w:divBdr>
    </w:div>
    <w:div w:id="653491350">
      <w:bodyDiv w:val="1"/>
      <w:marLeft w:val="0"/>
      <w:marRight w:val="0"/>
      <w:marTop w:val="0"/>
      <w:marBottom w:val="0"/>
      <w:divBdr>
        <w:top w:val="none" w:sz="0" w:space="0" w:color="auto"/>
        <w:left w:val="none" w:sz="0" w:space="0" w:color="auto"/>
        <w:bottom w:val="none" w:sz="0" w:space="0" w:color="auto"/>
        <w:right w:val="none" w:sz="0" w:space="0" w:color="auto"/>
      </w:divBdr>
    </w:div>
    <w:div w:id="714934634">
      <w:bodyDiv w:val="1"/>
      <w:marLeft w:val="0"/>
      <w:marRight w:val="0"/>
      <w:marTop w:val="0"/>
      <w:marBottom w:val="0"/>
      <w:divBdr>
        <w:top w:val="none" w:sz="0" w:space="0" w:color="auto"/>
        <w:left w:val="none" w:sz="0" w:space="0" w:color="auto"/>
        <w:bottom w:val="none" w:sz="0" w:space="0" w:color="auto"/>
        <w:right w:val="none" w:sz="0" w:space="0" w:color="auto"/>
      </w:divBdr>
    </w:div>
    <w:div w:id="809790458">
      <w:bodyDiv w:val="1"/>
      <w:marLeft w:val="0"/>
      <w:marRight w:val="0"/>
      <w:marTop w:val="0"/>
      <w:marBottom w:val="0"/>
      <w:divBdr>
        <w:top w:val="none" w:sz="0" w:space="0" w:color="auto"/>
        <w:left w:val="none" w:sz="0" w:space="0" w:color="auto"/>
        <w:bottom w:val="none" w:sz="0" w:space="0" w:color="auto"/>
        <w:right w:val="none" w:sz="0" w:space="0" w:color="auto"/>
      </w:divBdr>
    </w:div>
    <w:div w:id="834416818">
      <w:bodyDiv w:val="1"/>
      <w:marLeft w:val="0"/>
      <w:marRight w:val="0"/>
      <w:marTop w:val="0"/>
      <w:marBottom w:val="0"/>
      <w:divBdr>
        <w:top w:val="none" w:sz="0" w:space="0" w:color="auto"/>
        <w:left w:val="none" w:sz="0" w:space="0" w:color="auto"/>
        <w:bottom w:val="none" w:sz="0" w:space="0" w:color="auto"/>
        <w:right w:val="none" w:sz="0" w:space="0" w:color="auto"/>
      </w:divBdr>
    </w:div>
    <w:div w:id="879322537">
      <w:bodyDiv w:val="1"/>
      <w:marLeft w:val="0"/>
      <w:marRight w:val="0"/>
      <w:marTop w:val="0"/>
      <w:marBottom w:val="0"/>
      <w:divBdr>
        <w:top w:val="none" w:sz="0" w:space="0" w:color="auto"/>
        <w:left w:val="none" w:sz="0" w:space="0" w:color="auto"/>
        <w:bottom w:val="none" w:sz="0" w:space="0" w:color="auto"/>
        <w:right w:val="none" w:sz="0" w:space="0" w:color="auto"/>
      </w:divBdr>
    </w:div>
    <w:div w:id="886332735">
      <w:bodyDiv w:val="1"/>
      <w:marLeft w:val="0"/>
      <w:marRight w:val="0"/>
      <w:marTop w:val="0"/>
      <w:marBottom w:val="0"/>
      <w:divBdr>
        <w:top w:val="none" w:sz="0" w:space="0" w:color="auto"/>
        <w:left w:val="none" w:sz="0" w:space="0" w:color="auto"/>
        <w:bottom w:val="none" w:sz="0" w:space="0" w:color="auto"/>
        <w:right w:val="none" w:sz="0" w:space="0" w:color="auto"/>
      </w:divBdr>
    </w:div>
    <w:div w:id="1049767082">
      <w:bodyDiv w:val="1"/>
      <w:marLeft w:val="0"/>
      <w:marRight w:val="0"/>
      <w:marTop w:val="0"/>
      <w:marBottom w:val="0"/>
      <w:divBdr>
        <w:top w:val="none" w:sz="0" w:space="0" w:color="auto"/>
        <w:left w:val="none" w:sz="0" w:space="0" w:color="auto"/>
        <w:bottom w:val="none" w:sz="0" w:space="0" w:color="auto"/>
        <w:right w:val="none" w:sz="0" w:space="0" w:color="auto"/>
      </w:divBdr>
    </w:div>
    <w:div w:id="1111776963">
      <w:bodyDiv w:val="1"/>
      <w:marLeft w:val="0"/>
      <w:marRight w:val="0"/>
      <w:marTop w:val="0"/>
      <w:marBottom w:val="0"/>
      <w:divBdr>
        <w:top w:val="none" w:sz="0" w:space="0" w:color="auto"/>
        <w:left w:val="none" w:sz="0" w:space="0" w:color="auto"/>
        <w:bottom w:val="none" w:sz="0" w:space="0" w:color="auto"/>
        <w:right w:val="none" w:sz="0" w:space="0" w:color="auto"/>
      </w:divBdr>
    </w:div>
    <w:div w:id="1117526119">
      <w:bodyDiv w:val="1"/>
      <w:marLeft w:val="0"/>
      <w:marRight w:val="0"/>
      <w:marTop w:val="0"/>
      <w:marBottom w:val="0"/>
      <w:divBdr>
        <w:top w:val="none" w:sz="0" w:space="0" w:color="auto"/>
        <w:left w:val="none" w:sz="0" w:space="0" w:color="auto"/>
        <w:bottom w:val="none" w:sz="0" w:space="0" w:color="auto"/>
        <w:right w:val="none" w:sz="0" w:space="0" w:color="auto"/>
      </w:divBdr>
    </w:div>
    <w:div w:id="1267350832">
      <w:bodyDiv w:val="1"/>
      <w:marLeft w:val="0"/>
      <w:marRight w:val="0"/>
      <w:marTop w:val="0"/>
      <w:marBottom w:val="0"/>
      <w:divBdr>
        <w:top w:val="none" w:sz="0" w:space="0" w:color="auto"/>
        <w:left w:val="none" w:sz="0" w:space="0" w:color="auto"/>
        <w:bottom w:val="none" w:sz="0" w:space="0" w:color="auto"/>
        <w:right w:val="none" w:sz="0" w:space="0" w:color="auto"/>
      </w:divBdr>
    </w:div>
    <w:div w:id="1279676054">
      <w:bodyDiv w:val="1"/>
      <w:marLeft w:val="0"/>
      <w:marRight w:val="0"/>
      <w:marTop w:val="0"/>
      <w:marBottom w:val="0"/>
      <w:divBdr>
        <w:top w:val="none" w:sz="0" w:space="0" w:color="auto"/>
        <w:left w:val="none" w:sz="0" w:space="0" w:color="auto"/>
        <w:bottom w:val="none" w:sz="0" w:space="0" w:color="auto"/>
        <w:right w:val="none" w:sz="0" w:space="0" w:color="auto"/>
      </w:divBdr>
    </w:div>
    <w:div w:id="1376927485">
      <w:bodyDiv w:val="1"/>
      <w:marLeft w:val="0"/>
      <w:marRight w:val="0"/>
      <w:marTop w:val="0"/>
      <w:marBottom w:val="0"/>
      <w:divBdr>
        <w:top w:val="none" w:sz="0" w:space="0" w:color="auto"/>
        <w:left w:val="none" w:sz="0" w:space="0" w:color="auto"/>
        <w:bottom w:val="none" w:sz="0" w:space="0" w:color="auto"/>
        <w:right w:val="none" w:sz="0" w:space="0" w:color="auto"/>
      </w:divBdr>
    </w:div>
    <w:div w:id="1398825088">
      <w:bodyDiv w:val="1"/>
      <w:marLeft w:val="0"/>
      <w:marRight w:val="0"/>
      <w:marTop w:val="0"/>
      <w:marBottom w:val="0"/>
      <w:divBdr>
        <w:top w:val="none" w:sz="0" w:space="0" w:color="auto"/>
        <w:left w:val="none" w:sz="0" w:space="0" w:color="auto"/>
        <w:bottom w:val="none" w:sz="0" w:space="0" w:color="auto"/>
        <w:right w:val="none" w:sz="0" w:space="0" w:color="auto"/>
      </w:divBdr>
    </w:div>
    <w:div w:id="1475680318">
      <w:bodyDiv w:val="1"/>
      <w:marLeft w:val="0"/>
      <w:marRight w:val="0"/>
      <w:marTop w:val="0"/>
      <w:marBottom w:val="0"/>
      <w:divBdr>
        <w:top w:val="none" w:sz="0" w:space="0" w:color="auto"/>
        <w:left w:val="none" w:sz="0" w:space="0" w:color="auto"/>
        <w:bottom w:val="none" w:sz="0" w:space="0" w:color="auto"/>
        <w:right w:val="none" w:sz="0" w:space="0" w:color="auto"/>
      </w:divBdr>
    </w:div>
    <w:div w:id="1719279312">
      <w:bodyDiv w:val="1"/>
      <w:marLeft w:val="0"/>
      <w:marRight w:val="0"/>
      <w:marTop w:val="0"/>
      <w:marBottom w:val="0"/>
      <w:divBdr>
        <w:top w:val="none" w:sz="0" w:space="0" w:color="auto"/>
        <w:left w:val="none" w:sz="0" w:space="0" w:color="auto"/>
        <w:bottom w:val="none" w:sz="0" w:space="0" w:color="auto"/>
        <w:right w:val="none" w:sz="0" w:space="0" w:color="auto"/>
      </w:divBdr>
    </w:div>
    <w:div w:id="1805081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838&amp;date=30.01.2025&amp;demo=2" TargetMode="External"/><Relationship Id="rId13" Type="http://schemas.openxmlformats.org/officeDocument/2006/relationships/hyperlink" Target="https://login.consultant.ru/link/?req=doc&amp;base=LAW&amp;n=151174&amp;dst=100076&amp;field=134&amp;date=30.01.2025&amp;demo=2" TargetMode="External"/><Relationship Id="rId18" Type="http://schemas.openxmlformats.org/officeDocument/2006/relationships/hyperlink" Target="https://login.consultant.ru/link/?req=doc&amp;base=ARB&amp;n=523472&amp;date=30.01.2025&amp;demo=2" TargetMode="External"/><Relationship Id="rId3" Type="http://schemas.openxmlformats.org/officeDocument/2006/relationships/settings" Target="settings.xml"/><Relationship Id="rId7" Type="http://schemas.openxmlformats.org/officeDocument/2006/relationships/hyperlink" Target="https://login.consultant.ru/link/?req=doc&amp;base=LAW&amp;n=466838&amp;dst=6294&amp;field=134&amp;date=30.01.2025&amp;demo=2" TargetMode="External"/><Relationship Id="rId12" Type="http://schemas.openxmlformats.org/officeDocument/2006/relationships/hyperlink" Target="https://login.consultant.ru/link/?req=doc&amp;base=ARB&amp;n=361672&amp;date=30.01.2025&amp;demo=2" TargetMode="External"/><Relationship Id="rId17" Type="http://schemas.openxmlformats.org/officeDocument/2006/relationships/hyperlink" Target="https://login.consultant.ru/link/?req=doc&amp;base=LAW&amp;n=466838&amp;dst=4403&amp;field=134&amp;date=30.01.2025&amp;demo=2" TargetMode="External"/><Relationship Id="rId2" Type="http://schemas.openxmlformats.org/officeDocument/2006/relationships/styles" Target="styles.xml"/><Relationship Id="rId16" Type="http://schemas.openxmlformats.org/officeDocument/2006/relationships/hyperlink" Target="https://login.consultant.ru/link/?req=doc&amp;base=LAW&amp;n=466838&amp;date=30.01.2025&amp;demo=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ogin.consultant.ru/link/?req=doc&amp;base=LAW&amp;n=466838&amp;date=30.01.2025&amp;demo=2" TargetMode="External"/><Relationship Id="rId11" Type="http://schemas.openxmlformats.org/officeDocument/2006/relationships/hyperlink" Target="https://login.consultant.ru/link/?req=doc&amp;base=ARB&amp;n=652152&amp;date=30.01.2025&amp;demo=2" TargetMode="External"/><Relationship Id="rId5" Type="http://schemas.openxmlformats.org/officeDocument/2006/relationships/hyperlink" Target="https://login.consultant.ru/link/?req=doc&amp;base=LAW&amp;n=466838&amp;dst=5842&amp;field=134&amp;date=30.01.2025&amp;demo=2" TargetMode="External"/><Relationship Id="rId15" Type="http://schemas.openxmlformats.org/officeDocument/2006/relationships/hyperlink" Target="https://login.consultant.ru/link/?req=doc&amp;base=LAW&amp;n=466838&amp;dst=4019&amp;field=134&amp;date=30.01.2025&amp;demo=2" TargetMode="External"/><Relationship Id="rId10" Type="http://schemas.openxmlformats.org/officeDocument/2006/relationships/hyperlink" Target="https://login.consultant.ru/link/?req=doc&amp;base=LAW&amp;n=482750&amp;dst=100967&amp;field=134&amp;date=30.01.2025&amp;demo=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466838&amp;dst=6196&amp;field=134&amp;date=30.01.2025&amp;demo=2" TargetMode="External"/><Relationship Id="rId14" Type="http://schemas.openxmlformats.org/officeDocument/2006/relationships/hyperlink" Target="https://login.consultant.ru/link/?req=doc&amp;base=LAW&amp;n=466838&amp;dst=101202&amp;field=134&amp;date=30.01.2025&amp;demo=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1127</Words>
  <Characters>6430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Светлана</cp:lastModifiedBy>
  <cp:revision>5</cp:revision>
  <dcterms:created xsi:type="dcterms:W3CDTF">2025-01-30T13:15:00Z</dcterms:created>
  <dcterms:modified xsi:type="dcterms:W3CDTF">2025-02-04T05:43:00Z</dcterms:modified>
</cp:coreProperties>
</file>