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B2B" w:rsidRPr="00E97B2B" w:rsidRDefault="00E97B2B" w:rsidP="00E97B2B">
      <w:pPr>
        <w:jc w:val="center"/>
        <w:rPr>
          <w:rFonts w:ascii="Times New Roman" w:hAnsi="Times New Roman"/>
          <w:b/>
          <w:szCs w:val="24"/>
        </w:rPr>
      </w:pPr>
      <w:r w:rsidRPr="00E97B2B">
        <w:rPr>
          <w:rFonts w:ascii="Times New Roman" w:hAnsi="Times New Roman"/>
          <w:b/>
          <w:szCs w:val="24"/>
        </w:rPr>
        <w:t>НОВЫЕ ДОКУМЕНТЫ К РАССМОТРЕНИЮ НА СЕМИНАРАХ – 2025 (2)</w:t>
      </w:r>
    </w:p>
    <w:p w:rsidR="00E97B2B" w:rsidRPr="00E97B2B" w:rsidRDefault="00E97B2B" w:rsidP="00E97B2B">
      <w:pPr>
        <w:jc w:val="center"/>
        <w:rPr>
          <w:rFonts w:ascii="Times New Roman" w:hAnsi="Times New Roman"/>
          <w:b/>
          <w:sz w:val="22"/>
        </w:rPr>
      </w:pPr>
    </w:p>
    <w:p w:rsidR="00E97B2B" w:rsidRPr="00E97B2B" w:rsidRDefault="00E97B2B" w:rsidP="00E97B2B">
      <w:pPr>
        <w:jc w:val="center"/>
        <w:rPr>
          <w:rFonts w:ascii="Times New Roman" w:hAnsi="Times New Roman"/>
          <w:b/>
          <w:sz w:val="22"/>
          <w:szCs w:val="22"/>
        </w:rPr>
      </w:pPr>
      <w:r w:rsidRPr="00E97B2B">
        <w:rPr>
          <w:rFonts w:ascii="Times New Roman" w:hAnsi="Times New Roman"/>
          <w:b/>
          <w:sz w:val="22"/>
          <w:szCs w:val="22"/>
        </w:rPr>
        <w:t>О</w:t>
      </w:r>
      <w:r>
        <w:rPr>
          <w:rFonts w:ascii="Times New Roman" w:hAnsi="Times New Roman"/>
          <w:b/>
          <w:sz w:val="22"/>
          <w:szCs w:val="22"/>
        </w:rPr>
        <w:t>бщие вопросы</w:t>
      </w:r>
    </w:p>
    <w:p w:rsidR="00976DB9" w:rsidRPr="00E97B2B" w:rsidRDefault="00976DB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6"/>
        <w:gridCol w:w="3607"/>
        <w:gridCol w:w="2258"/>
        <w:gridCol w:w="1235"/>
        <w:gridCol w:w="784"/>
        <w:gridCol w:w="1242"/>
        <w:gridCol w:w="1096"/>
      </w:tblGrid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Разъяснены вопросы применения ГАР и ФИАС, а также присвоения адресов помещениям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ЕГРЮЛ, адрес, ГАР, ФИАС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25/02/25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14-1-05/0003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Банк не вправе на основании антиотмывочного законодательства отказать в перечислении денежных средств на основании судебного акта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Закон №115-ФЗ, судебный акт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Кассационное 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05/02/25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87-КАД24-2-К2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Даже при наличии согласованного основания для одностороннего расторжения договора должна оцениваться обоснованность такового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450 ГК РФ, статья 451 ГК РФ, одностороннее расторжение договора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ПО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27/02/25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Ф06-587/2025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Трёхлетний срок на возврат (зачёт) налога должен исчисляться с даты представления налоговой декларации по итогам налогового периода, за который истребуется переплата по налогу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11.3 НК РФ, статья 45 НК РФ, статья 79 НК РФ, возврат переплаты, срок давности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12/03/25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305-ЭС24-17676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Увольнение работника, в том числе по собственному желанию, до конца года не может быть безусловным основанием для невыплаты работнику премии по итогам года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129 ТК РФ, стимулирующая выплата, премия по итогам года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6-й КСОЮ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88-142/2025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Уплата налога за третье лицо исключает в дальнейшем возможность плательщика требовать возврата указанных сумм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45 НК РФ, уплата за третье лицо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04/03/25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306-ЭС25-1666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Оплата счетов по неподписанному соглашению может разумно рассматриваться как акцепт оферты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426 ГК РФ, статья 428 ГК РФ, статья 438 ГК РФ, договор присоединения, акцепт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06/02/25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310-ЭС24-20342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Налоговый орган доказал использование группой налогоплательщиков "схемы дробления бизнеса"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54.1 НК РФ, недобросовестность, дробление бизнеса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Определение 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27/02/25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309-ЭС23-21968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Критерии должной осмотрительности могут различаться в зависимости от характера и размера той или иной сделки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54.1 НК РФ, должная осмотрительность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УО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А76-1418/2024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Разъяснены различные способы представления документов по требованию налогового органа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93 НК РФ, статья 93.1 НК РФ, предоставление документов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04/02/25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ЕА-2-26/1316</w:t>
            </w:r>
          </w:p>
        </w:tc>
      </w:tr>
      <w:tr w:rsidR="00976DB9" w:rsidRPr="00E97B2B" w:rsidTr="00E97B2B">
        <w:trPr>
          <w:trHeight w:val="26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11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Адрес массовой регистрации исключён из состава признаков недостоверности сведений ЕГРЮЛ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Закон о государственной регистрации юридических лиц, недостоверные сведения, юридический адрес, исключение из ЕГРЮЛ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Приказ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10/12/24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ЕД-7-14/1119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Основные направления развития бухгалтерского учёта и бухгалтерской отчётности в периоде до 2023 года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Реформирование бухгалтерского учёта и бухгалтерской отчётности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Приказ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18/02/25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53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13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Возмещение ущерба похитителем не прекращает права собственности на похищенное имущество и не является способом легитимизации права собственности на похищенное похитителем имущество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15 ГК РФ, статья 1064 ГК РФ, статья 39 НК РФ, возмещение ущерба, реализация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ВС РФ 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11/02/25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307-ЭС24-17957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14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Заключение договоров в целях обхода ограничений, установленных законом, лишает права на судебную защиту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10 ГК РФ, статья 168 ГК РФ, добросовестность,  недействительность сделки, право на судебную защиту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307-ЭС24-18161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15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Слабая сторона в сделке вправе заявлять требования о восстановлении нарушенного права посредством оспаривания обременительных условий договора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421 ГК РФ, статья 10 ГК РФ, добросовестность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307-ЭС24-18545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16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На период испытательного срока снижение заработной платы недопустимо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133 ТК РФ, статья 139 ТК РФ, заработная плата, испытательный срок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19/08/19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18-КГ19-77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17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Векселедержатель не смог доказать реальность сделок, в результате которых к нему перешли векселя, вследствие чего ему отказано во взыскании вексельной суммы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815 ГК РФ, вексель, фиктивность векселя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11/02/25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305-ЭС24-21576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18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Налоговый орган вправе оспаривать сделки об отчуждении имущества, если цель таковых - увод имущества от обращения взыскания налоговым органом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46 НК РФ, статья 101 НК РФ, обращение взыскания, недействительность сделок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21/01/25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16-КГ24-35-К4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19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Штраф за непредставление уведомления о суммах </w:t>
            </w: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исчисленных налогов не предусмотрен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 xml:space="preserve">Статья 59 НК РФ, уведомление о суммах </w:t>
            </w: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исчисленных налогов, налоговая ответственность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Письмо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28/12/24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БВ-4-7/14776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20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Истребование документов по цепочке контрагентов должно быть обоснованным и раскрывающим цепочку взаимодействия лиц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93.1 НК РФ, запрос документов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10/01/25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БВ-4-7/58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21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При реализации предмета лизинга по заниженной стоимости взаимозависимому лицу налоговым органом правомерно доначислена заниженная выручка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105.14 НК РФ, взаимозависимые лица, занижение выручки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14/01/25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306-ЭС24-22351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22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Установление работнику инвалидности при отсутствии заключения по результатам экспертизы о профессиональной пригодности не может быть основанием для его увольнения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81 ТК РФ, увольнение, инвалид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8-й КСОЮ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03/12/24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88-23257/2024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23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Заградительный тариф за перевод на основании бумажных поручений незаконен, поскольку экономически не обоснован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15 ГК РФ, статья 1064 ГК РФ, злоупотребление правом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26/12/24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305-ЭС24-16889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24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Продавец не обязан соблюдать стандарт должной осмотрительности, поскольку таковая обязанность предусмотрена для покупателей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54.1 НК РФ, должная осмотрительность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ЗСО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10/12/24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А45-25913/2023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25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Добровольный отказ от вычета по уведомлению налогового органа о налоговых разрывах, предусмотренный договором, даёт право на взыскание убытков в соответствующей сумме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431.2 ГК РФ, статья 406.1 ГК РФ, "налоговая оговорка", взыскание убытков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ЦО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16/12/24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А14-11689/2023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26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Сведения о фальсификации доказательств, полученные в рамках даже прекращённого уголовного дела, могут быть основанием для пересмотра иных дел, в которых использовались такие доказательства, по вновь открывшимся обстоятельствам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Фальсификация доказательств, вновь открывшиеся обстоятельства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16/01/25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1-П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27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Организация доказала реальность нахождения по юридическому адресу, вследствие чего исключение из ЕГРЮЛ было признано незаконным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Закон о государственной регистрации юридических лиц, недостоверные сведения, юридический адрес, исключение из ЕГРЮЛ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ПО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18/11/24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Ф06-8505/2024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28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Изменения места выполнения трудовой функции дистанционным сотрудником может быть основанием для расторжения трудового договора по инициативе работодателя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81 ТК РФ, дистанционный работник, изменение места работы, существенное условие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2-й КСОЮ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21/11/24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88-29277/2024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29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Неправомерное уменьшение налоговым органом положительного сальдо по ЕНС даёт право налогоплательщику на получение процентов по статье 79 НК РФ в связи с неправомерным взысканием налога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11.3 НК РФ, статья 79 НК РФ, неправомерное уменьшение сальдо по ЕНС, проценты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27/01/25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309-ЭС24-18347</w:t>
            </w:r>
          </w:p>
        </w:tc>
      </w:tr>
    </w:tbl>
    <w:p w:rsidR="00976DB9" w:rsidRPr="00E97B2B" w:rsidRDefault="00976DB9">
      <w:pPr>
        <w:rPr>
          <w:rFonts w:ascii="Tahoma" w:hAnsi="Tahoma"/>
          <w:sz w:val="22"/>
          <w:szCs w:val="22"/>
        </w:rPr>
      </w:pPr>
    </w:p>
    <w:p w:rsidR="00E97B2B" w:rsidRPr="00E97B2B" w:rsidRDefault="00E97B2B" w:rsidP="00E97B2B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НДС</w:t>
      </w:r>
    </w:p>
    <w:p w:rsidR="00976DB9" w:rsidRPr="00E97B2B" w:rsidRDefault="00976DB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6"/>
        <w:gridCol w:w="3607"/>
        <w:gridCol w:w="2262"/>
        <w:gridCol w:w="1235"/>
        <w:gridCol w:w="785"/>
        <w:gridCol w:w="1246"/>
        <w:gridCol w:w="1107"/>
      </w:tblGrid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Отсутствие счёт-фактуры при доказанности реальности операций не может быть безусловным основанием для отказа в возмещении НДС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169 НК РФ, счёт-фактура, возмещение НДС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УО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14/01/25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Ф09-6901/24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Отсутствие счёт-фактуры при доказанности реальности операций не может быть безусловным основанием для отказа в возмещении НДС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169 НК РФ, счёт-фактура, возмещение НДС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ДО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06/03/25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Ф03-466/2024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Даже если стоимость подрядных работ формируется с учётом стоимости использованных материалов, НДС начисляется на всю сумму вознаграждения подрядчика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146 НК РФ, статья 153 НК РФ, налоговая база, договор подряда, вознаграждение подрядчика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20/01/25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03-07-11/3667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Пороки в оформлении счёт-фактур подлежат оценке на предмет признания таких документов недействительными 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169 НК РФ, счёт-фактура, реквизиты, недействительность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20/01/25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03-07-09/4132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Подарки работникам облагаются НДС как безвозмездно переданное имущество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146 НК РФ, безвозмездная передача имущества, подарки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20/01/25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03-03-06/1/3748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Восстановление "входящего" НДС в отношении основных средств, используемых для необлагаемых операций, осуществляется в особом порядке, установленном статьёй 171.1 НК РФ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171.1 НК РФ, восстановление НДС, основные средства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Определение 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25/02/25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309-ЭС23-30405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Даже если стоимость подрядных работ формируется с учётом стоимости использованных </w:t>
            </w: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материалов, НДС начисляется на всю сумму вознаграждения подрядчика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 xml:space="preserve">Статья 146 НК РФ, статья 153 НК РФ, налоговая база, </w:t>
            </w: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договор подряда, вознаграждение подрядчика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20/01/25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03-07-11/3601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8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При перевозке товаров по территории Российской Федерации, даже если таковые помещаются в дальнейшем под таможенную процедуру экспорта, вознаграждение экспедитора облагается по ставке 20%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164 НК РФ, статья 165 НК РФ, ставка 0%, международная перевозка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10/01/25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03-07-08/649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Передача в безвозмездное пользование медицинских товаров медицинской организации облагается НДС на общих основаниях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146 НК РФ, статья 149 НК РФ, безвозмездное пользование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18/11/24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03-07-11/113934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Налоговая льгота по НДС в отношении передачи прав на использование отечественного ПО не применима, если таковая происходит в рамках договора коммерческой концессии, а не лицензионного договора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149 НК РФ, программы для ЭВМ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ВС РФ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14/01/25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305-ЭС24-23865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Корректировка налоговых обязательств из-за признания договора недействительным осуществляется в том периоде, в котором таковое происходит, а не в периоде заключения договора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54 НК РФ, расторжение договора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ЗСО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02/12/24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А03-1624/2017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Освобождение от НДС для медицинских изделий распространяется и на части такого изделия, если таковые упоминаются в регистрационном удостоверении на изделие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149 НК РФ, медицинские изделия, части медицинского изделия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26/12/24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305-ЭС24-19942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13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При оплате иностранному лицу вознаграждения за выполнение функции платёжного агента обязанность налогового агента по НДС не возникает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148 НК РФ, место реализации работ (услуг), платёжный агент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12/12/24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03-07-08/125379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14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Экспедитор при организации международной перевозки, получающий счета-фактуры в отношении этапов перевозки по России с НДС в размере 20%, применяет указанный вычет на общих основаниях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164 НК РФ, статья 165 НК РФ, ставка 0%, международная перевозка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03/12/24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03-07-08/121484</w:t>
            </w:r>
          </w:p>
        </w:tc>
      </w:tr>
      <w:tr w:rsidR="00976DB9" w:rsidRPr="00E97B2B" w:rsidTr="00E97B2B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15</w:t>
            </w:r>
          </w:p>
        </w:tc>
        <w:tc>
          <w:tcPr>
            <w:tcW w:w="3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Выплата дивидендов имуществом организации есть реализация такового, влекущая начисление НДС на общих основаниях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39 НК РФ, статья 146 НК РФ, дивиденды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03/12/24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03-07-11/121626</w:t>
            </w:r>
          </w:p>
        </w:tc>
      </w:tr>
    </w:tbl>
    <w:p w:rsidR="00976DB9" w:rsidRPr="00E97B2B" w:rsidRDefault="00976DB9">
      <w:pPr>
        <w:rPr>
          <w:rFonts w:ascii="Tahoma" w:hAnsi="Tahoma"/>
          <w:sz w:val="22"/>
          <w:szCs w:val="22"/>
        </w:rPr>
      </w:pPr>
    </w:p>
    <w:p w:rsidR="00976DB9" w:rsidRPr="00E97B2B" w:rsidRDefault="00E97B2B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Налог на прибыль организаций</w:t>
      </w:r>
    </w:p>
    <w:p w:rsidR="00976DB9" w:rsidRPr="00E97B2B" w:rsidRDefault="00976DB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"/>
        <w:gridCol w:w="3619"/>
        <w:gridCol w:w="2262"/>
        <w:gridCol w:w="1235"/>
        <w:gridCol w:w="785"/>
        <w:gridCol w:w="1246"/>
        <w:gridCol w:w="1108"/>
      </w:tblGrid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Пересчёт таможенной стоимости не является основанием для пересмотра принятых организацией правил формирования себестоимости приобретаемых активов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320 НК РФ, прямые и косвенные расходы, таможенная стоимость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28/02/25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03-03-06/1/19684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Разъяснены случаи неправомерности признания в составе расходов по налогу на прибыль затрат на рекламу в интернете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264 НК РФ, реклама, интернет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21/02/25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03-03-08/17113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Убыток от прощения долга не может быть учтён для целей исчисления налога на прибыль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265 НК РФ, статья 266 НК РФ, прощение долга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13/02/25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03-03-06/1/13152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Применение инвестиционного налогового вычета при несоответствии основного (но соответствии - вспомогательного) ОКВЭД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286.2 НК РФ, инвестиционный налоговый вычет, основной ОКВЭД, вспомогательный ОКВЭД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05/02/25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СД-4-3/1069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Уточнены вопросы применения коэффициента 2 к стоимости некоторых "отечественных" активов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257 НК РФ, повышающий коэффициент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29/01/25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03-03-06/1/7617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Первичные бухгалтерские документы в электронном виде являются основанием для признания расходов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252 НК РФ, документальное подтверждение, электронный документ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20/01/25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03-03-06/1/3562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Подарки работникам не могут быть учтены при исчислении налога на прибыль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252 НК РФ, статья 270 НК РФ, подарки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20/01/25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03-03-06/1/3748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Расходы на содержание служебной квартиры могут быть учтены при исчислении налога на прибыль, но в особом порядке, установленном статьёй 275.1 НК РФ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275.1 НК РФ, служебная квартира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24/12/24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03-03-06/1/130646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Компенсация расходов третьего лица не может быть учтена при исчислении налога на прибыль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252 НК РФ, статья 265 НК РФ, компенсация расходов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16/01/25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03-03-06/1/2390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Нормативы технологических потерь налогоплательщик устанавливает самостоятельно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252 НК РФ, статья 254 НК РФ, технологические потери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15/01/25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03-03-06/1/1998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Для обоснования затрат для целей исчисления налога на прибыль должны иметь место первичные бухгалтерские документы в соответствии с </w:t>
            </w: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законодательством о бухгалтерском учёте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Статья 252 НК РФ, первичный документ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05/12/24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03-03-06/1/122516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12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Налогоплательщик неправомерно определил амортизационную группу в отношении основных средств без учёта ГОСТ и документации производителя 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259 НК РФ, амортизационная группа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24/02/25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304-ЭС25-230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13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Взыскание с фрахтователя неудержанного налога на доходы иностранных организаций, который уплачен перевозчиком в иностранный бюджет, неправомерно, поскольку приведёт к двойному налогообложению в силу некомпенсирования указанных сумм российскому фрахтователю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309 НК РФ, статья 310 НК РФ, международная перевозка, неудержание, двойное налогообложение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17/01/25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304-ЭС24-22720</w:t>
            </w:r>
          </w:p>
        </w:tc>
      </w:tr>
    </w:tbl>
    <w:p w:rsidR="00976DB9" w:rsidRPr="00E97B2B" w:rsidRDefault="00976DB9">
      <w:pPr>
        <w:rPr>
          <w:rFonts w:ascii="Times New Roman" w:hAnsi="Times New Roman"/>
          <w:sz w:val="22"/>
          <w:szCs w:val="22"/>
        </w:rPr>
      </w:pPr>
    </w:p>
    <w:p w:rsidR="00976DB9" w:rsidRPr="00E97B2B" w:rsidRDefault="00976DB9">
      <w:pPr>
        <w:rPr>
          <w:rFonts w:ascii="Times New Roman" w:hAnsi="Times New Roman"/>
          <w:sz w:val="22"/>
          <w:szCs w:val="22"/>
        </w:rPr>
      </w:pPr>
    </w:p>
    <w:p w:rsidR="00976DB9" w:rsidRPr="00E97B2B" w:rsidRDefault="00E97B2B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Страховые взносы</w:t>
      </w:r>
    </w:p>
    <w:p w:rsidR="00976DB9" w:rsidRPr="00E97B2B" w:rsidRDefault="00976DB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5"/>
        <w:gridCol w:w="3608"/>
        <w:gridCol w:w="2262"/>
        <w:gridCol w:w="1235"/>
        <w:gridCol w:w="785"/>
        <w:gridCol w:w="1246"/>
        <w:gridCol w:w="1108"/>
      </w:tblGrid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Пользование залом повышенной комфортности в командировке приводит к начислению страховых взносов, поскольку таковые не указаны в качестве необлагаемых выплат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422 НК РФ, зал повышенной комфортности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26/02/25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03-04-05/18534</w:t>
            </w:r>
          </w:p>
        </w:tc>
      </w:tr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Налоговый орган правомерно переквалифицировал отношения с самозанятым лицом в трудовые отношения, доначислив страховые взносы и НДФЛ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самозанятость, трудовые отношения, переквалификация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13/03/25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309-ЭС25-921</w:t>
            </w:r>
          </w:p>
        </w:tc>
      </w:tr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Если в информации на получение пособия по временной нетрудоспособности не указан код заболевания, то излишняя сумма пособия не может быть взыскана с работодателя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Социальное пособие, инвалидность, излишний размер, возмещение ущерба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06/11/24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А56-125681/2023</w:t>
            </w:r>
          </w:p>
        </w:tc>
      </w:tr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Если в информации на получение пособия по временной нетрудоспособности не указан код заболевания, то излишняя сумма пособия может быть взыскана с работодателя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Социальное пособие, инвалидность, излишний размер, возмещение ущерба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СКО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24/04/24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А53-18900/2022</w:t>
            </w:r>
          </w:p>
        </w:tc>
      </w:tr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Компенсация за использование личного имущества в служебных целях не должна прикрывать собой один из способов оплаты труда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422 НК РФ, компенсация за использование личного имущества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ПО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23/12/24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Ф06-10252/2024</w:t>
            </w:r>
          </w:p>
        </w:tc>
      </w:tr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Компенсация стоимости билетов при вахтовом методе работы не </w:t>
            </w: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облагается страховыми взносами, а покупка таковых самостоятельно организацией - облагается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 xml:space="preserve">Статья 420 НК РФ, статья 422 НК РФ, </w:t>
            </w: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вахтовый метод работы, компенсация стоимости проезда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09/01/25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03-04-05/417</w:t>
            </w:r>
          </w:p>
        </w:tc>
      </w:tr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7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Налоговый орган правомерно переквалифицировал отношения с самозанятым лицом в трудовые отношения, доначислив страховые взносы и НДФЛ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самозанятость, трудовые отношения, переквалификация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26/02/25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309-ЭС25-935</w:t>
            </w:r>
          </w:p>
        </w:tc>
      </w:tr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Налоговый орган правомерно переквалифицировал отношения с самозанятым лицом в трудовые отношения, доначислив страховые взносы и НДФЛ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самозанятость, трудовые отношения, переквалификация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19/02/25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310-ЭС24-24050</w:t>
            </w:r>
          </w:p>
        </w:tc>
      </w:tr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Выплата компенсации за разъездной характер работы не была подтверждена путевыми (маршрутными) листами, вследствие чего таковые были обложены страховыми взносами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компенсационные выплаты, разъездной характер работы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19/02/25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309-ЭС25-1358</w:t>
            </w:r>
          </w:p>
        </w:tc>
      </w:tr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Компенсационные выплаты должны быть обусловлены наличием вредности производственных факторов, а при отсутствии таковых переквалифицируются в доплаты и надбавки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компенсационные выплаты, вредные условия труда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21/01/25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301-ЭС24-22688</w:t>
            </w:r>
          </w:p>
        </w:tc>
      </w:tr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Исключение налогоплательщика из реестра СМП не является безусловным основанием для отказа в применении пониженного размере страховых взносов, если последний соответствует всем установленным критериям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427 НК РФ, реестр СМП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17/01/25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305-ЭС24-22748</w:t>
            </w:r>
          </w:p>
        </w:tc>
      </w:tr>
      <w:tr w:rsidR="00976DB9" w:rsidRPr="00E97B2B" w:rsidTr="00E97B2B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Отчётность по страховым взносам и персонифицированному учёту на членов совета директоров подают даже при отсутствии выплат в пользу последних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РСВ, выплаты членам совета директоров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10/12/24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03-15-06/124176</w:t>
            </w:r>
          </w:p>
        </w:tc>
      </w:tr>
    </w:tbl>
    <w:p w:rsidR="00976DB9" w:rsidRPr="00E97B2B" w:rsidRDefault="00976DB9">
      <w:pPr>
        <w:rPr>
          <w:rFonts w:ascii="Tahoma" w:hAnsi="Tahoma"/>
          <w:sz w:val="22"/>
          <w:szCs w:val="22"/>
        </w:rPr>
      </w:pPr>
    </w:p>
    <w:p w:rsidR="00E97B2B" w:rsidRPr="00E97B2B" w:rsidRDefault="00E97B2B" w:rsidP="00E97B2B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Налог на доходы физических лиц</w:t>
      </w:r>
    </w:p>
    <w:p w:rsidR="00976DB9" w:rsidRPr="00E97B2B" w:rsidRDefault="00976DB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"/>
        <w:gridCol w:w="3619"/>
        <w:gridCol w:w="2262"/>
        <w:gridCol w:w="1235"/>
        <w:gridCol w:w="785"/>
        <w:gridCol w:w="1246"/>
        <w:gridCol w:w="1096"/>
      </w:tblGrid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Пользование залом повышенной комфортности в командировке приводит к начислению НДФЛ, поскольку таковые не указаны в качестве необлагаемых доходов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217 НК РФ, зал повышенной комфортности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26/02/25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03-04-05/18534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Новые правила об удержании НДФЛ по доходам прошлого года из доходов января следующего </w:t>
            </w: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года применяются к правоотношениям с 01.01.2025 года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 xml:space="preserve">Статья 226 НК РФ, налоговый агент, </w:t>
            </w: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невозможность удержания НДФЛ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11/02/25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03-04-05/11939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3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Чаевые, перечисляемые непосредственно работникам организации есть подарок клиента последним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210 НК РФ, статья 217 НК РФ, чаевые, подарок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04/09/19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03-04-05/67982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Компенсация стоимости билетов при вахтовом методе работы не облагается НДФЛ, а покупка таковых самостоятельно организацией - облагается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210 НК РФ, статья 217 НК РФ, вахтовый метод работы, компенсация стоимости проезда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09/01/25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03-04-05/417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Доходы физического лица по гражданско-правовому договору, исполняемому посредством Интернета, независимо от налогового статуса облагаются по ставке 13% (22%)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208 НК РФ, статья 224 НК РФ, налоговый нерезидент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10/01/25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03-04-06/766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 целях исчисления минимального срока владения квартирой, полученной обманутым дольщиком от государства, необходимо исходить из даты внесения вклада в кооператив, являвшегося основанием для включения в программу обманутых дольщиков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217.1 НК РФ, договор долевого участия, потребительский кооператив, срок владения квартирой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Кассационное 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29/01/25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32-КАД24-13-К1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При неправомерном неудержании НДФЛ вследствие фиктивных отношений с самозанятыми сумма подлежащего взысканию НДФЛ не может быть уменьшена на суммы налогов, уплаченных самозанятыми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226 НК РФ, налоговый агент, самозанятость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309-ЭС24-20306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Налоговый орган неправомерно начислил НДФЛ с денежных средств, внесённых на счета в банках, поскольку не был доказан характер получения таковых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210 НК РФ, взнос в банк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ФАС ЗСО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19/12/24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Ф04-4937/2023</w:t>
            </w:r>
          </w:p>
        </w:tc>
      </w:tr>
      <w:tr w:rsidR="00976DB9" w:rsidRPr="00E97B2B" w:rsidTr="00E97B2B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3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Налоговые органы разъяснили порядок исчисления НДФЛ с 2025 года в отношении "северных" выплат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210 НК РФ, "северные" выплаты, ставки налога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28/01/25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БС-4-11/739</w:t>
            </w:r>
          </w:p>
        </w:tc>
      </w:tr>
    </w:tbl>
    <w:p w:rsidR="00976DB9" w:rsidRPr="00E97B2B" w:rsidRDefault="00976DB9">
      <w:pPr>
        <w:rPr>
          <w:rFonts w:ascii="Times New Roman" w:hAnsi="Times New Roman"/>
          <w:sz w:val="22"/>
          <w:szCs w:val="22"/>
        </w:rPr>
      </w:pPr>
    </w:p>
    <w:p w:rsidR="00976DB9" w:rsidRPr="00E97B2B" w:rsidRDefault="00E97B2B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Транспортный налог</w:t>
      </w:r>
    </w:p>
    <w:p w:rsidR="00976DB9" w:rsidRPr="00E97B2B" w:rsidRDefault="00976DB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2"/>
        <w:gridCol w:w="3631"/>
        <w:gridCol w:w="2273"/>
        <w:gridCol w:w="1235"/>
        <w:gridCol w:w="785"/>
        <w:gridCol w:w="1246"/>
        <w:gridCol w:w="1108"/>
      </w:tblGrid>
      <w:tr w:rsidR="00976DB9" w:rsidRPr="00E97B2B" w:rsidTr="00E97B2B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ФНС России разъяснила вопросы исчисления транспортного налога в отношении транспортного средства, </w:t>
            </w: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изъятого у налогоплательщика и реализованного в рамках дела о банкротстве</w:t>
            </w:r>
          </w:p>
        </w:tc>
        <w:tc>
          <w:tcPr>
            <w:tcW w:w="2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 xml:space="preserve">Статья 362 НК РФ, банкротство, изъятие, </w:t>
            </w: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реализация на торгах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28/02/25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СД-4-21/2051</w:t>
            </w:r>
          </w:p>
        </w:tc>
      </w:tr>
      <w:tr w:rsidR="00976DB9" w:rsidRPr="00E97B2B" w:rsidTr="00E97B2B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2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При изменении собственника транспортного средства в течение налогового периода исчисление транспортного налога производится по "правилу 15-го числа"</w:t>
            </w:r>
          </w:p>
        </w:tc>
        <w:tc>
          <w:tcPr>
            <w:tcW w:w="2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362 НК РФ, регистрация транспортного средства, правило "15-го числа"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10/01/25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03-05-06-04/467</w:t>
            </w:r>
          </w:p>
        </w:tc>
      </w:tr>
      <w:tr w:rsidR="00976DB9" w:rsidRPr="00E97B2B" w:rsidTr="00E97B2B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Разъяснены вопросы исчисления транспортного налога при смене места нахождения транспортного средства</w:t>
            </w:r>
          </w:p>
        </w:tc>
        <w:tc>
          <w:tcPr>
            <w:tcW w:w="2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362 НК РФ, место регистрации транспортного средства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21/01/25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БС-4-21/471</w:t>
            </w:r>
          </w:p>
        </w:tc>
      </w:tr>
      <w:tr w:rsidR="00976DB9" w:rsidRPr="00E97B2B" w:rsidTr="00E97B2B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Разъяснены вопросы исчисления транспортного налога в отношении автомобиля, имеющего несколько несколько двигателей: расчёт производится исключительно по данным регистрирующего органа</w:t>
            </w:r>
          </w:p>
        </w:tc>
        <w:tc>
          <w:tcPr>
            <w:tcW w:w="2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359 НК РФ, налоговая база, мощность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15/01/25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03-05-06-04/2181</w:t>
            </w:r>
          </w:p>
        </w:tc>
      </w:tr>
    </w:tbl>
    <w:p w:rsidR="00976DB9" w:rsidRPr="00E97B2B" w:rsidRDefault="00976DB9">
      <w:pPr>
        <w:rPr>
          <w:rFonts w:ascii="Tahoma" w:hAnsi="Tahoma"/>
          <w:sz w:val="22"/>
          <w:szCs w:val="22"/>
        </w:rPr>
      </w:pPr>
    </w:p>
    <w:p w:rsidR="00976DB9" w:rsidRPr="00E97B2B" w:rsidRDefault="00976DB9">
      <w:pPr>
        <w:rPr>
          <w:rFonts w:ascii="Times New Roman" w:hAnsi="Times New Roman"/>
          <w:sz w:val="22"/>
          <w:szCs w:val="22"/>
        </w:rPr>
      </w:pPr>
    </w:p>
    <w:p w:rsidR="00976DB9" w:rsidRPr="00E97B2B" w:rsidRDefault="00E97B2B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Налог на имущество организаций</w:t>
      </w:r>
    </w:p>
    <w:p w:rsidR="00976DB9" w:rsidRPr="00E97B2B" w:rsidRDefault="00976DB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1"/>
        <w:gridCol w:w="3642"/>
        <w:gridCol w:w="2285"/>
        <w:gridCol w:w="1223"/>
        <w:gridCol w:w="727"/>
        <w:gridCol w:w="1315"/>
        <w:gridCol w:w="1096"/>
      </w:tblGrid>
      <w:tr w:rsidR="00976DB9" w:rsidRPr="00E97B2B" w:rsidTr="00E97B2B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Трансформаторно-распределительная подстанция, смонтированная в объекте недвижимости и питающая последний, может признаваться объектом недвижимости при соответствии такового требования ГрК РФ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374 НК РФ, недвижимость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23/01/25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БС-4-21/558</w:t>
            </w:r>
          </w:p>
        </w:tc>
      </w:tr>
      <w:tr w:rsidR="00976DB9" w:rsidRPr="00E97B2B" w:rsidTr="00E97B2B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России распространила обзор судебной практики по исчислению налога на имущество организаций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374 НК РФ, объект обложения налогом на имущество, основное средство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13/02/25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БС-4-21/1433</w:t>
            </w:r>
          </w:p>
        </w:tc>
      </w:tr>
      <w:tr w:rsidR="00976DB9" w:rsidRPr="00E97B2B" w:rsidTr="00E97B2B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Даже признание миниТЭЦ объектом недвижимости не приводит к признанию таковыми всех узлов и агрегатов, связанных с её использованием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15/01/25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306-ЭС24-10450</w:t>
            </w:r>
          </w:p>
        </w:tc>
      </w:tr>
      <w:tr w:rsidR="00976DB9" w:rsidRPr="00E97B2B" w:rsidTr="00E97B2B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Определён перечень объектов недвижимости в Санкт-Петербурге, в отношении которых налог на имущество организаций подлежит уплате исходя из кадастровой стоимости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Статья 378.2 НК РФ, кадастровая стоимость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Приказ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КИО Санкт-Петербурга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26/12/24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DB9" w:rsidRPr="00E97B2B" w:rsidRDefault="00E97B2B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E97B2B">
              <w:rPr>
                <w:rFonts w:ascii="Tahoma" w:hAnsi="Tahoma"/>
                <w:color w:val="000000" w:themeColor="dark1"/>
                <w:sz w:val="22"/>
                <w:szCs w:val="22"/>
              </w:rPr>
              <w:t>176-П</w:t>
            </w:r>
          </w:p>
        </w:tc>
      </w:tr>
      <w:tr w:rsidR="00756A64" w:rsidRPr="00E97B2B" w:rsidTr="00E97B2B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5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 xml:space="preserve">Если неотделимые улучшения арендованной недвижимости не возмещаются арендодателем и учитываются на балансе арендатора в качестве основных средств, то стоимость таковых </w:t>
            </w: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включается в состав налоговой базы по налогу на имущество у арендатора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Статья 374 НК РФ, объект обложения, неотделимые улучшения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07/11/24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03-03-06/1/109635</w:t>
            </w:r>
          </w:p>
        </w:tc>
      </w:tr>
      <w:tr w:rsidR="00756A64" w:rsidRPr="00E97B2B" w:rsidTr="00E97B2B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lastRenderedPageBreak/>
              <w:t>6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Продолжительное бездействие по не оспариванию кадастровой стоимости объекта недвижимости может быть основанием для отказа в возврате излишне уплаченного налога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378.2 НК РФ, оспаривание кадастровой стоимости, возврат налога, бездействие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13/12/24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306-ЭС24-15537</w:t>
            </w:r>
          </w:p>
        </w:tc>
      </w:tr>
      <w:tr w:rsidR="00756A64" w:rsidRPr="00E97B2B" w:rsidTr="00E97B2B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7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Асфальтирование земельного участка не является самостоятельным основным средством, поскольку является улучшением такового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131 ГК РФ, недвижимость, асфальтирование участка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Письмо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МФ РФ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25/10/24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03-05-05-01/104183</w:t>
            </w:r>
          </w:p>
        </w:tc>
      </w:tr>
      <w:tr w:rsidR="00756A64" w:rsidRPr="00E97B2B" w:rsidTr="00E97B2B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8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неправильно квалифицировал объекты движимого имущества как неотъемлемые части недвижимого имущества, вследствие чего неправомерно доначислил налог на имущество организаций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26/11/24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306-ЭС24-13246</w:t>
            </w:r>
          </w:p>
        </w:tc>
      </w:tr>
      <w:tr w:rsidR="00756A64" w:rsidRPr="00E97B2B" w:rsidTr="00E97B2B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9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неправильно квалифицировал объекты движимого имущества как неотъемлемые части недвижимого имущества, вследствие чего неправомерно доначислил налог на имущество организаций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13/11/24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306-ЭС24-7822</w:t>
            </w:r>
          </w:p>
        </w:tc>
      </w:tr>
      <w:tr w:rsidR="00756A64" w:rsidRPr="00E97B2B" w:rsidTr="00E97B2B"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Налоговый орган неправильно квалифицировал объекты движимого имущества как неотъемлемые части недвижимого имущества, вследствие чего неправомерно доначислил налог на имущество организаций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left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ВС РФ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10/10/24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A64" w:rsidRDefault="00756A64" w:rsidP="00756A64">
            <w:pPr>
              <w:jc w:val="center"/>
              <w:rPr>
                <w:rFonts w:ascii="Arial CYR" w:hAnsi="Arial CYR"/>
                <w:color w:val="000000" w:themeColor="dark1"/>
                <w:sz w:val="22"/>
              </w:rPr>
            </w:pPr>
            <w:r>
              <w:rPr>
                <w:rFonts w:ascii="Arial CYR" w:hAnsi="Arial CYR"/>
                <w:color w:val="000000" w:themeColor="dark1"/>
                <w:sz w:val="22"/>
              </w:rPr>
              <w:t>303-ЭС24-8693</w:t>
            </w:r>
          </w:p>
        </w:tc>
      </w:tr>
    </w:tbl>
    <w:p w:rsidR="00976DB9" w:rsidRDefault="00976DB9">
      <w:pPr>
        <w:rPr>
          <w:rFonts w:ascii="Tahoma" w:hAnsi="Tahoma"/>
          <w:sz w:val="22"/>
          <w:szCs w:val="22"/>
        </w:rPr>
      </w:pPr>
    </w:p>
    <w:p w:rsidR="00E97B2B" w:rsidRDefault="00E97B2B">
      <w:pPr>
        <w:rPr>
          <w:rFonts w:ascii="Tahoma" w:hAnsi="Tahoma"/>
          <w:sz w:val="22"/>
          <w:szCs w:val="22"/>
        </w:rPr>
      </w:pPr>
    </w:p>
    <w:p w:rsidR="00E97B2B" w:rsidRDefault="00E97B2B">
      <w:pPr>
        <w:rPr>
          <w:rFonts w:ascii="Tahoma" w:hAnsi="Tahoma"/>
          <w:sz w:val="22"/>
          <w:szCs w:val="22"/>
        </w:rPr>
      </w:pPr>
    </w:p>
    <w:p w:rsidR="00E97B2B" w:rsidRDefault="00E97B2B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  <w:bookmarkStart w:id="0" w:name="_GoBack"/>
      <w:bookmarkEnd w:id="0"/>
    </w:p>
    <w:p w:rsidR="00E97B2B" w:rsidRDefault="00E97B2B">
      <w:pPr>
        <w:rPr>
          <w:rFonts w:ascii="Tahoma" w:hAnsi="Tahoma"/>
          <w:sz w:val="22"/>
          <w:szCs w:val="22"/>
        </w:rPr>
      </w:pPr>
    </w:p>
    <w:p w:rsidR="00E97B2B" w:rsidRDefault="00E97B2B">
      <w:pPr>
        <w:rPr>
          <w:rFonts w:ascii="Tahoma" w:hAnsi="Tahoma"/>
          <w:sz w:val="22"/>
          <w:szCs w:val="22"/>
        </w:rPr>
      </w:pPr>
    </w:p>
    <w:p w:rsidR="00E97B2B" w:rsidRPr="00E97B2B" w:rsidRDefault="00E97B2B" w:rsidP="00E97B2B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>Т</w:t>
      </w:r>
      <w:r w:rsidRPr="007579B0">
        <w:rPr>
          <w:b/>
          <w:sz w:val="22"/>
        </w:rPr>
        <w:t>елеграм-каналы «Центра финансовых экспертиз»</w:t>
      </w:r>
    </w:p>
    <w:p w:rsidR="00E97B2B" w:rsidRPr="007579B0" w:rsidRDefault="00E97B2B" w:rsidP="00E97B2B">
      <w:pPr>
        <w:jc w:val="center"/>
        <w:rPr>
          <w:noProof/>
          <w:sz w:val="20"/>
        </w:rPr>
      </w:pPr>
      <w:r w:rsidRPr="007579B0">
        <w:rPr>
          <w:noProof/>
          <w:sz w:val="20"/>
        </w:rPr>
        <w:drawing>
          <wp:inline distT="0" distB="0" distL="0" distR="0" wp14:anchorId="61B1F735" wp14:editId="036593A9">
            <wp:extent cx="2089150" cy="2507334"/>
            <wp:effectExtent l="0" t="0" r="635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002" cy="2513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7B2B" w:rsidRPr="007579B0" w:rsidRDefault="00E97B2B" w:rsidP="00E97B2B">
      <w:pPr>
        <w:jc w:val="center"/>
        <w:rPr>
          <w:b/>
          <w:noProof/>
          <w:sz w:val="20"/>
        </w:rPr>
      </w:pPr>
    </w:p>
    <w:p w:rsidR="00E97B2B" w:rsidRPr="007579B0" w:rsidRDefault="00E97B2B" w:rsidP="00E97B2B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«Бухгалтер и Бизнес»</w:t>
      </w:r>
    </w:p>
    <w:p w:rsidR="00E97B2B" w:rsidRPr="007579B0" w:rsidRDefault="00E97B2B" w:rsidP="00E97B2B">
      <w:pPr>
        <w:rPr>
          <w:noProof/>
          <w:sz w:val="20"/>
        </w:rPr>
      </w:pPr>
    </w:p>
    <w:p w:rsidR="00E97B2B" w:rsidRPr="007579B0" w:rsidRDefault="00E97B2B" w:rsidP="00E97B2B">
      <w:pPr>
        <w:jc w:val="left"/>
        <w:rPr>
          <w:noProof/>
          <w:sz w:val="20"/>
        </w:rPr>
      </w:pPr>
    </w:p>
    <w:p w:rsidR="00E97B2B" w:rsidRPr="007579B0" w:rsidRDefault="00E97B2B" w:rsidP="00E97B2B">
      <w:pPr>
        <w:jc w:val="center"/>
        <w:rPr>
          <w:noProof/>
          <w:sz w:val="20"/>
        </w:rPr>
      </w:pPr>
      <w:r w:rsidRPr="007579B0">
        <w:rPr>
          <w:noProof/>
          <w:sz w:val="20"/>
        </w:rPr>
        <w:drawing>
          <wp:inline distT="0" distB="0" distL="0" distR="0" wp14:anchorId="6ADE60FB" wp14:editId="703B6BED">
            <wp:extent cx="2039144" cy="2330450"/>
            <wp:effectExtent l="0" t="0" r="0" b="0"/>
            <wp:docPr id="2" name="Рисунок 2" descr="C:\Data\ЦФЭОформление\ТГ_БюджетУч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ЦФЭОформление\ТГ_БюджетУчет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65" cy="234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B2B" w:rsidRPr="007579B0" w:rsidRDefault="00E97B2B" w:rsidP="00E97B2B">
      <w:pPr>
        <w:jc w:val="center"/>
        <w:rPr>
          <w:b/>
          <w:noProof/>
          <w:sz w:val="20"/>
        </w:rPr>
      </w:pPr>
    </w:p>
    <w:p w:rsidR="00E97B2B" w:rsidRPr="007579B0" w:rsidRDefault="00E97B2B" w:rsidP="00E97B2B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«Бюджетный учет»</w:t>
      </w:r>
    </w:p>
    <w:p w:rsidR="00E97B2B" w:rsidRPr="007579B0" w:rsidRDefault="00E97B2B" w:rsidP="00E97B2B">
      <w:pPr>
        <w:jc w:val="left"/>
        <w:rPr>
          <w:noProof/>
          <w:sz w:val="20"/>
        </w:rPr>
      </w:pPr>
    </w:p>
    <w:p w:rsidR="00E97B2B" w:rsidRPr="007579B0" w:rsidRDefault="00E97B2B" w:rsidP="00E97B2B">
      <w:pPr>
        <w:jc w:val="center"/>
        <w:rPr>
          <w:sz w:val="20"/>
        </w:rPr>
      </w:pPr>
      <w:r w:rsidRPr="007579B0">
        <w:rPr>
          <w:noProof/>
          <w:sz w:val="20"/>
        </w:rPr>
        <w:drawing>
          <wp:inline distT="0" distB="0" distL="0" distR="0" wp14:anchorId="32A84EEC" wp14:editId="7DE875E5">
            <wp:extent cx="1961579" cy="2348865"/>
            <wp:effectExtent l="0" t="0" r="635" b="0"/>
            <wp:docPr id="3" name="Рисунок 3" descr="C:\Data\ЦФЭОформление\ТГ_ГорячаяЛи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ЦФЭОформление\ТГ_ГорячаяЛини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699" cy="236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B2B" w:rsidRPr="007579B0" w:rsidRDefault="00E97B2B" w:rsidP="00E97B2B">
      <w:pPr>
        <w:jc w:val="center"/>
        <w:rPr>
          <w:b/>
          <w:noProof/>
          <w:sz w:val="20"/>
        </w:rPr>
      </w:pPr>
    </w:p>
    <w:p w:rsidR="00E97B2B" w:rsidRPr="007579B0" w:rsidRDefault="00E97B2B" w:rsidP="00E97B2B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«Горячая линия бухгалтера»</w:t>
      </w:r>
    </w:p>
    <w:p w:rsidR="00E97B2B" w:rsidRDefault="00E97B2B" w:rsidP="00E97B2B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(оперативные ответы на вопросы)</w:t>
      </w:r>
    </w:p>
    <w:p w:rsidR="00E97B2B" w:rsidRDefault="00E97B2B" w:rsidP="00E97B2B">
      <w:pPr>
        <w:jc w:val="center"/>
        <w:rPr>
          <w:b/>
          <w:noProof/>
          <w:sz w:val="20"/>
        </w:rPr>
      </w:pPr>
    </w:p>
    <w:p w:rsidR="00756A64" w:rsidRDefault="00E97B2B" w:rsidP="00E97B2B">
      <w:pPr>
        <w:jc w:val="center"/>
        <w:rPr>
          <w:b/>
          <w:noProof/>
          <w:sz w:val="20"/>
        </w:rPr>
      </w:pPr>
      <w:r>
        <w:rPr>
          <w:b/>
          <w:noProof/>
          <w:sz w:val="20"/>
        </w:rPr>
        <w:t xml:space="preserve">НАШ ИДЕНТИФИКАТОР В ЭДО (СБИС) </w:t>
      </w:r>
    </w:p>
    <w:p w:rsidR="00E97B2B" w:rsidRPr="00756A64" w:rsidRDefault="00E97B2B" w:rsidP="00756A64">
      <w:pPr>
        <w:jc w:val="center"/>
        <w:rPr>
          <w:b/>
          <w:noProof/>
          <w:sz w:val="20"/>
        </w:rPr>
      </w:pPr>
      <w:r w:rsidRPr="00E97B2B">
        <w:rPr>
          <w:b/>
          <w:noProof/>
          <w:sz w:val="20"/>
        </w:rPr>
        <w:t>2BEdc9b36e2120a4ec59f316e4f43bfb9b4</w:t>
      </w:r>
    </w:p>
    <w:sectPr w:rsidR="00E97B2B" w:rsidRPr="00756A64" w:rsidSect="00E97B2B">
      <w:footerReference w:type="default" r:id="rId9"/>
      <w:pgSz w:w="11908" w:h="16848"/>
      <w:pgMar w:top="993" w:right="283" w:bottom="1276" w:left="567" w:header="850" w:footer="28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1F5" w:rsidRDefault="00F141F5" w:rsidP="00E97B2B">
      <w:r>
        <w:separator/>
      </w:r>
    </w:p>
  </w:endnote>
  <w:endnote w:type="continuationSeparator" w:id="0">
    <w:p w:rsidR="00F141F5" w:rsidRDefault="00F141F5" w:rsidP="00E97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2810931"/>
      <w:docPartObj>
        <w:docPartGallery w:val="Page Numbers (Bottom of Page)"/>
        <w:docPartUnique/>
      </w:docPartObj>
    </w:sdtPr>
    <w:sdtContent>
      <w:p w:rsidR="00E97B2B" w:rsidRDefault="00E97B2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6A64">
          <w:rPr>
            <w:noProof/>
          </w:rPr>
          <w:t>11</w:t>
        </w:r>
        <w:r>
          <w:fldChar w:fldCharType="end"/>
        </w:r>
      </w:p>
    </w:sdtContent>
  </w:sdt>
  <w:p w:rsidR="00E97B2B" w:rsidRDefault="00E97B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1F5" w:rsidRDefault="00F141F5" w:rsidP="00E97B2B">
      <w:r>
        <w:separator/>
      </w:r>
    </w:p>
  </w:footnote>
  <w:footnote w:type="continuationSeparator" w:id="0">
    <w:p w:rsidR="00F141F5" w:rsidRDefault="00F141F5" w:rsidP="00E97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B9"/>
    <w:rsid w:val="00756A64"/>
    <w:rsid w:val="00976DB9"/>
    <w:rsid w:val="00E97B2B"/>
    <w:rsid w:val="00F1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73DF31-29EF-4668-A0F4-AC4E4E61F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rFonts w:ascii="Courier New" w:hAnsi="Courier New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ourier New" w:hAnsi="Courier New"/>
      <w:color w:val="000000"/>
      <w:spacing w:val="0"/>
      <w:sz w:val="24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1"/>
    <w:rPr>
      <w:rFonts w:ascii="XO Thames" w:hAnsi="XO Thames"/>
      <w:color w:val="000000"/>
      <w:spacing w:val="0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  <w:rPr>
      <w:rFonts w:ascii="XO Thames" w:hAnsi="XO Thames"/>
      <w:sz w:val="28"/>
    </w:rPr>
  </w:style>
  <w:style w:type="character" w:customStyle="1" w:styleId="60">
    <w:name w:val="Оглавление 6 Знак"/>
    <w:basedOn w:val="1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  <w:rPr>
      <w:rFonts w:ascii="XO Thames" w:hAnsi="XO Thames"/>
      <w:sz w:val="28"/>
    </w:rPr>
  </w:style>
  <w:style w:type="character" w:customStyle="1" w:styleId="70">
    <w:name w:val="Оглавление 7 Знак"/>
    <w:basedOn w:val="1"/>
    <w:link w:val="7"/>
    <w:rPr>
      <w:rFonts w:ascii="XO Thames" w:hAnsi="XO Thames"/>
      <w:color w:val="000000"/>
      <w:spacing w:val="0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color w:val="000000"/>
      <w:spacing w:val="0"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basedOn w:val="1"/>
    <w:link w:val="31"/>
    <w:rPr>
      <w:rFonts w:ascii="XO Thames" w:hAnsi="XO Thames"/>
      <w:color w:val="000000"/>
      <w:spacing w:val="0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color w:val="000000"/>
      <w:spacing w:val="0"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rFonts w:ascii="XO Thames" w:hAnsi="XO Thames"/>
      <w:b/>
      <w:sz w:val="28"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color w:val="000000"/>
      <w:spacing w:val="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basedOn w:val="1"/>
    <w:link w:val="9"/>
    <w:rPr>
      <w:rFonts w:ascii="XO Thames" w:hAnsi="XO Thames"/>
      <w:color w:val="000000"/>
      <w:spacing w:val="0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  <w:rPr>
      <w:rFonts w:ascii="XO Thames" w:hAnsi="XO Thames"/>
      <w:sz w:val="28"/>
    </w:rPr>
  </w:style>
  <w:style w:type="character" w:customStyle="1" w:styleId="80">
    <w:name w:val="Оглавление 8 Знак"/>
    <w:basedOn w:val="1"/>
    <w:link w:val="8"/>
    <w:rPr>
      <w:rFonts w:ascii="XO Thames" w:hAnsi="XO Thames"/>
      <w:color w:val="000000"/>
      <w:spacing w:val="0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Pr>
      <w:rFonts w:ascii="XO Thames" w:hAnsi="XO Thames"/>
      <w:color w:val="000000"/>
      <w:spacing w:val="0"/>
      <w:sz w:val="28"/>
    </w:rPr>
  </w:style>
  <w:style w:type="paragraph" w:styleId="a4">
    <w:name w:val="Subtitle"/>
    <w:basedOn w:val="a"/>
    <w:next w:val="a"/>
    <w:link w:val="a5"/>
    <w:uiPriority w:val="11"/>
    <w:qFormat/>
    <w:rPr>
      <w:rFonts w:ascii="XO Thames" w:hAnsi="XO Thames"/>
      <w:i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color w:val="000000"/>
      <w:spacing w:val="0"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color w:val="000000"/>
      <w:spacing w:val="0"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color w:val="000000"/>
      <w:spacing w:val="0"/>
      <w:sz w:val="28"/>
    </w:rPr>
  </w:style>
  <w:style w:type="paragraph" w:styleId="a8">
    <w:name w:val="header"/>
    <w:basedOn w:val="a"/>
    <w:link w:val="a9"/>
    <w:uiPriority w:val="99"/>
    <w:unhideWhenUsed/>
    <w:rsid w:val="00E97B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97B2B"/>
    <w:rPr>
      <w:rFonts w:ascii="Courier New" w:hAnsi="Courier New"/>
    </w:rPr>
  </w:style>
  <w:style w:type="paragraph" w:styleId="aa">
    <w:name w:val="footer"/>
    <w:basedOn w:val="a"/>
    <w:link w:val="ab"/>
    <w:uiPriority w:val="99"/>
    <w:unhideWhenUsed/>
    <w:rsid w:val="00E97B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97B2B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3461</Words>
  <Characters>19730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Балдина</cp:lastModifiedBy>
  <cp:revision>2</cp:revision>
  <dcterms:created xsi:type="dcterms:W3CDTF">2025-03-24T06:03:00Z</dcterms:created>
  <dcterms:modified xsi:type="dcterms:W3CDTF">2025-03-24T06:03:00Z</dcterms:modified>
</cp:coreProperties>
</file>